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24A53E4" w:rsidP="159FA3E7" w:rsidRDefault="424A53E4" w14:paraId="2C6AFCE1" w14:textId="63635E04">
      <w:pPr>
        <w:pStyle w:val="Normal"/>
        <w:widowControl w:val="0"/>
        <w:pBdr>
          <w:top w:val="nil" w:color="000000" w:sz="0" w:space="0"/>
          <w:left w:val="nil" w:color="000000" w:sz="0" w:space="0"/>
          <w:bottom w:val="nil" w:color="000000" w:sz="0" w:space="0"/>
          <w:right w:val="nil" w:color="000000" w:sz="0" w:space="0"/>
          <w:between w:val="nil" w:color="000000" w:sz="0" w:space="0"/>
        </w:pBdr>
        <w:spacing w:after="0" w:line="276" w:lineRule="auto"/>
        <w:jc w:val="right"/>
      </w:pPr>
    </w:p>
    <w:p w:rsidR="424A53E4" w:rsidP="784F6A69" w:rsidRDefault="424A53E4" w14:paraId="151B76C3" w14:textId="45FDF728">
      <w:pPr>
        <w:pStyle w:val="Normal"/>
        <w:widowControl w:val="0"/>
        <w:pBdr>
          <w:top w:val="nil" w:color="000000" w:sz="0" w:space="0"/>
          <w:left w:val="nil" w:color="000000" w:sz="0" w:space="0"/>
          <w:bottom w:val="nil" w:color="000000" w:sz="0" w:space="0"/>
          <w:right w:val="nil" w:color="000000" w:sz="0" w:space="0"/>
          <w:between w:val="nil" w:color="000000" w:sz="0" w:space="0"/>
        </w:pBdr>
        <w:spacing w:after="0" w:line="276" w:lineRule="auto"/>
        <w:rPr>
          <w:rFonts w:ascii="Arial" w:hAnsi="Arial" w:eastAsia="Arial" w:cs="Arial"/>
          <w:color w:val="000000" w:themeColor="text1" w:themeTint="FF" w:themeShade="FF"/>
        </w:rPr>
      </w:pPr>
    </w:p>
    <w:p w:rsidR="424A53E4" w:rsidP="784F6A69" w:rsidRDefault="424A53E4" w14:paraId="5E4B5112" w14:textId="2E9D0B4F">
      <w:pPr>
        <w:pStyle w:val="Normal"/>
        <w:widowControl w:val="0"/>
        <w:pBdr>
          <w:top w:val="nil" w:color="000000" w:sz="0" w:space="0"/>
          <w:left w:val="nil" w:color="000000" w:sz="0" w:space="0"/>
          <w:bottom w:val="nil" w:color="000000" w:sz="0" w:space="0"/>
          <w:right w:val="nil" w:color="000000" w:sz="0" w:space="0"/>
          <w:between w:val="nil" w:color="000000" w:sz="0" w:space="0"/>
        </w:pBdr>
        <w:spacing w:after="0" w:line="276" w:lineRule="auto"/>
        <w:rPr>
          <w:rFonts w:ascii="Arial" w:hAnsi="Arial" w:eastAsia="Arial" w:cs="Arial"/>
          <w:color w:val="000000" w:themeColor="text1" w:themeTint="FF" w:themeShade="FF"/>
        </w:rPr>
      </w:pPr>
    </w:p>
    <w:p w:rsidR="424A53E4" w:rsidP="784F6A69" w:rsidRDefault="424A53E4" w14:paraId="3E237FA6" w14:textId="07EE2A1A">
      <w:pPr>
        <w:pStyle w:val="Normal"/>
        <w:widowControl w:val="0"/>
        <w:pBdr>
          <w:top w:val="nil" w:color="000000" w:sz="0" w:space="0"/>
          <w:left w:val="nil" w:color="000000" w:sz="0" w:space="0"/>
          <w:bottom w:val="nil" w:color="000000" w:sz="0" w:space="0"/>
          <w:right w:val="nil" w:color="000000" w:sz="0" w:space="0"/>
          <w:between w:val="nil" w:color="000000" w:sz="0" w:space="0"/>
        </w:pBdr>
        <w:spacing w:after="0" w:line="276" w:lineRule="auto"/>
        <w:rPr>
          <w:rFonts w:ascii="Arial" w:hAnsi="Arial" w:eastAsia="Arial" w:cs="Arial"/>
          <w:color w:val="000000" w:themeColor="text1" w:themeTint="FF" w:themeShade="FF"/>
        </w:rPr>
      </w:pPr>
    </w:p>
    <w:tbl>
      <w:tblPr>
        <w:tblStyle w:val="a"/>
        <w:tblW w:w="10468" w:type="dxa"/>
        <w:tblLayout w:type="fixed"/>
        <w:tblLook w:val="0400" w:firstRow="0" w:lastRow="0" w:firstColumn="0" w:lastColumn="0" w:noHBand="0" w:noVBand="1"/>
      </w:tblPr>
      <w:tblGrid>
        <w:gridCol w:w="4849"/>
        <w:gridCol w:w="5619"/>
      </w:tblGrid>
      <w:tr w:rsidR="00FE04C5" w14:paraId="08A3BFB1" w14:textId="77777777">
        <w:trPr>
          <w:trHeight w:val="203"/>
        </w:trPr>
        <w:tc>
          <w:tcPr>
            <w:tcW w:w="4849" w:type="dxa"/>
            <w:tcBorders>
              <w:top w:val="single" w:color="000000" w:sz="8" w:space="0"/>
              <w:left w:val="single" w:color="000000" w:sz="8" w:space="0"/>
              <w:bottom w:val="single" w:color="000000" w:sz="8" w:space="0"/>
              <w:right w:val="single" w:color="000000" w:sz="8" w:space="0"/>
            </w:tcBorders>
            <w:shd w:val="clear" w:color="auto" w:fill="ACB9CA"/>
            <w:tcMar>
              <w:top w:w="54" w:type="dxa"/>
              <w:left w:w="95" w:type="dxa"/>
              <w:bottom w:w="0" w:type="dxa"/>
              <w:right w:w="115" w:type="dxa"/>
            </w:tcMar>
          </w:tcPr>
          <w:p w:rsidR="00FE04C5" w:rsidRDefault="007912FD" w14:paraId="1F7403CE" w14:textId="77777777">
            <w:pPr>
              <w:spacing w:before="240" w:line="240" w:lineRule="auto"/>
              <w:ind w:left="15"/>
              <w:rPr>
                <w:sz w:val="24"/>
                <w:szCs w:val="24"/>
              </w:rPr>
            </w:pPr>
            <w:r>
              <w:rPr>
                <w:sz w:val="24"/>
                <w:szCs w:val="24"/>
              </w:rPr>
              <w:t> </w:t>
            </w:r>
            <w:r>
              <w:rPr>
                <w:b/>
                <w:color w:val="000000"/>
                <w:sz w:val="24"/>
                <w:szCs w:val="24"/>
              </w:rPr>
              <w:t>POLICY TITLE:</w:t>
            </w:r>
          </w:p>
        </w:tc>
        <w:tc>
          <w:tcPr>
            <w:tcW w:w="5619" w:type="dxa"/>
            <w:tcBorders>
              <w:top w:val="single" w:color="000000" w:sz="8" w:space="0"/>
              <w:left w:val="single" w:color="000000" w:sz="8" w:space="0"/>
              <w:bottom w:val="single" w:color="000000" w:sz="8" w:space="0"/>
              <w:right w:val="single" w:color="000000" w:sz="8" w:space="0"/>
            </w:tcBorders>
            <w:shd w:val="clear" w:color="auto" w:fill="ACB9CA"/>
            <w:tcMar>
              <w:top w:w="54" w:type="dxa"/>
              <w:left w:w="95" w:type="dxa"/>
              <w:bottom w:w="0" w:type="dxa"/>
              <w:right w:w="115" w:type="dxa"/>
            </w:tcMar>
          </w:tcPr>
          <w:p w:rsidR="00FE04C5" w:rsidRDefault="005C24AE" w14:paraId="40C2B4ED" w14:textId="0615B5B1">
            <w:pPr>
              <w:tabs>
                <w:tab w:val="center" w:pos="2517"/>
              </w:tabs>
              <w:spacing w:before="240" w:line="240" w:lineRule="auto"/>
              <w:rPr>
                <w:sz w:val="24"/>
                <w:szCs w:val="24"/>
              </w:rPr>
            </w:pPr>
            <w:r>
              <w:rPr>
                <w:sz w:val="24"/>
                <w:szCs w:val="24"/>
              </w:rPr>
              <w:t>Curriculum Policy</w:t>
            </w:r>
          </w:p>
        </w:tc>
      </w:tr>
      <w:tr w:rsidR="00FE04C5" w14:paraId="0033F6B8" w14:textId="77777777">
        <w:trPr>
          <w:trHeight w:val="403"/>
        </w:trPr>
        <w:tc>
          <w:tcPr>
            <w:tcW w:w="4849" w:type="dxa"/>
            <w:tcBorders>
              <w:top w:val="single" w:color="000000" w:sz="8" w:space="0"/>
              <w:left w:val="single" w:color="000000" w:sz="8" w:space="0"/>
              <w:bottom w:val="single" w:color="000000" w:sz="8" w:space="0"/>
              <w:right w:val="single" w:color="000000" w:sz="8" w:space="0"/>
            </w:tcBorders>
            <w:tcMar>
              <w:top w:w="54" w:type="dxa"/>
              <w:left w:w="95" w:type="dxa"/>
              <w:bottom w:w="0" w:type="dxa"/>
              <w:right w:w="115" w:type="dxa"/>
            </w:tcMar>
          </w:tcPr>
          <w:p w:rsidR="00FE04C5" w:rsidRDefault="007912FD" w14:paraId="0CFDA9BE" w14:textId="77777777">
            <w:pPr>
              <w:spacing w:before="240" w:line="240" w:lineRule="auto"/>
              <w:ind w:left="15"/>
              <w:rPr>
                <w:sz w:val="24"/>
                <w:szCs w:val="24"/>
              </w:rPr>
            </w:pPr>
            <w:r>
              <w:rPr>
                <w:color w:val="000000"/>
                <w:sz w:val="24"/>
                <w:szCs w:val="24"/>
              </w:rPr>
              <w:t>Persons Responsible for Policy:</w:t>
            </w:r>
          </w:p>
        </w:tc>
        <w:tc>
          <w:tcPr>
            <w:tcW w:w="5619" w:type="dxa"/>
            <w:tcBorders>
              <w:top w:val="single" w:color="000000" w:sz="8" w:space="0"/>
              <w:left w:val="single" w:color="000000" w:sz="8" w:space="0"/>
              <w:bottom w:val="single" w:color="000000" w:sz="8" w:space="0"/>
              <w:right w:val="single" w:color="000000" w:sz="8" w:space="0"/>
            </w:tcBorders>
            <w:tcMar>
              <w:top w:w="54" w:type="dxa"/>
              <w:left w:w="95" w:type="dxa"/>
              <w:bottom w:w="0" w:type="dxa"/>
              <w:right w:w="115" w:type="dxa"/>
            </w:tcMar>
          </w:tcPr>
          <w:p w:rsidR="00FE04C5" w:rsidRDefault="007912FD" w14:paraId="7A659997" w14:textId="77777777">
            <w:pPr>
              <w:spacing w:before="240" w:line="240" w:lineRule="auto"/>
              <w:rPr>
                <w:sz w:val="24"/>
                <w:szCs w:val="24"/>
              </w:rPr>
            </w:pPr>
            <w:r>
              <w:rPr>
                <w:color w:val="000000"/>
                <w:sz w:val="24"/>
                <w:szCs w:val="24"/>
              </w:rPr>
              <w:t>Kate Truscott - Director</w:t>
            </w:r>
          </w:p>
          <w:p w:rsidR="00FE04C5" w:rsidRDefault="00FE04C5" w14:paraId="26C21F35" w14:textId="77777777">
            <w:pPr>
              <w:spacing w:before="240" w:line="240" w:lineRule="auto"/>
              <w:rPr>
                <w:sz w:val="24"/>
                <w:szCs w:val="24"/>
              </w:rPr>
            </w:pPr>
          </w:p>
        </w:tc>
      </w:tr>
      <w:tr w:rsidR="00FE04C5" w14:paraId="3AFA9131" w14:textId="77777777">
        <w:trPr>
          <w:trHeight w:val="201"/>
        </w:trPr>
        <w:tc>
          <w:tcPr>
            <w:tcW w:w="4849" w:type="dxa"/>
            <w:tcBorders>
              <w:top w:val="single" w:color="000000" w:sz="8" w:space="0"/>
              <w:left w:val="single" w:color="000000" w:sz="8" w:space="0"/>
              <w:bottom w:val="single" w:color="000000" w:sz="8" w:space="0"/>
              <w:right w:val="single" w:color="000000" w:sz="8" w:space="0"/>
            </w:tcBorders>
            <w:tcMar>
              <w:top w:w="54" w:type="dxa"/>
              <w:left w:w="95" w:type="dxa"/>
              <w:bottom w:w="0" w:type="dxa"/>
              <w:right w:w="115" w:type="dxa"/>
            </w:tcMar>
          </w:tcPr>
          <w:p w:rsidR="00FE04C5" w:rsidRDefault="007912FD" w14:paraId="648CA8BD" w14:textId="77777777">
            <w:pPr>
              <w:spacing w:before="240" w:line="240" w:lineRule="auto"/>
              <w:ind w:left="15"/>
              <w:rPr>
                <w:sz w:val="24"/>
                <w:szCs w:val="24"/>
              </w:rPr>
            </w:pPr>
            <w:r>
              <w:rPr>
                <w:color w:val="000000"/>
                <w:sz w:val="24"/>
                <w:szCs w:val="24"/>
              </w:rPr>
              <w:t>Completion date:</w:t>
            </w:r>
          </w:p>
        </w:tc>
        <w:tc>
          <w:tcPr>
            <w:tcW w:w="5619" w:type="dxa"/>
            <w:tcBorders>
              <w:top w:val="single" w:color="000000" w:sz="8" w:space="0"/>
              <w:left w:val="single" w:color="000000" w:sz="8" w:space="0"/>
              <w:bottom w:val="single" w:color="000000" w:sz="8" w:space="0"/>
              <w:right w:val="single" w:color="000000" w:sz="8" w:space="0"/>
            </w:tcBorders>
            <w:tcMar>
              <w:top w:w="54" w:type="dxa"/>
              <w:left w:w="95" w:type="dxa"/>
              <w:bottom w:w="0" w:type="dxa"/>
              <w:right w:w="115" w:type="dxa"/>
            </w:tcMar>
          </w:tcPr>
          <w:p w:rsidR="00FE04C5" w:rsidRDefault="005C24AE" w14:paraId="033247D6" w14:textId="42B24314">
            <w:pPr>
              <w:spacing w:before="240" w:line="240" w:lineRule="auto"/>
              <w:rPr>
                <w:sz w:val="24"/>
                <w:szCs w:val="24"/>
              </w:rPr>
            </w:pPr>
            <w:r>
              <w:rPr>
                <w:color w:val="000000"/>
                <w:sz w:val="24"/>
                <w:szCs w:val="24"/>
              </w:rPr>
              <w:t>19</w:t>
            </w:r>
            <w:r w:rsidR="007912FD">
              <w:rPr>
                <w:color w:val="000000"/>
                <w:sz w:val="24"/>
                <w:szCs w:val="24"/>
              </w:rPr>
              <w:t>/0</w:t>
            </w:r>
            <w:r>
              <w:rPr>
                <w:color w:val="000000"/>
                <w:sz w:val="24"/>
                <w:szCs w:val="24"/>
              </w:rPr>
              <w:t>7</w:t>
            </w:r>
            <w:r w:rsidR="007912FD">
              <w:rPr>
                <w:color w:val="000000"/>
                <w:sz w:val="24"/>
                <w:szCs w:val="24"/>
              </w:rPr>
              <w:t>/23</w:t>
            </w:r>
          </w:p>
        </w:tc>
      </w:tr>
      <w:tr w:rsidR="00FE04C5" w14:paraId="6A3857A0" w14:textId="77777777">
        <w:trPr>
          <w:trHeight w:val="217"/>
        </w:trPr>
        <w:tc>
          <w:tcPr>
            <w:tcW w:w="4849" w:type="dxa"/>
            <w:tcBorders>
              <w:top w:val="single" w:color="000000" w:sz="8" w:space="0"/>
              <w:left w:val="single" w:color="000000" w:sz="8" w:space="0"/>
              <w:bottom w:val="single" w:color="000000" w:sz="8" w:space="0"/>
              <w:right w:val="single" w:color="000000" w:sz="8" w:space="0"/>
            </w:tcBorders>
            <w:tcMar>
              <w:top w:w="54" w:type="dxa"/>
              <w:left w:w="95" w:type="dxa"/>
              <w:bottom w:w="0" w:type="dxa"/>
              <w:right w:w="115" w:type="dxa"/>
            </w:tcMar>
          </w:tcPr>
          <w:p w:rsidR="00FE04C5" w:rsidRDefault="007912FD" w14:paraId="39A0E456" w14:textId="77777777">
            <w:pPr>
              <w:spacing w:before="240" w:line="240" w:lineRule="auto"/>
              <w:ind w:left="15"/>
              <w:rPr>
                <w:sz w:val="24"/>
                <w:szCs w:val="24"/>
              </w:rPr>
            </w:pPr>
            <w:r>
              <w:rPr>
                <w:color w:val="000000"/>
                <w:sz w:val="24"/>
                <w:szCs w:val="24"/>
              </w:rPr>
              <w:t>Review date:</w:t>
            </w:r>
          </w:p>
        </w:tc>
        <w:tc>
          <w:tcPr>
            <w:tcW w:w="5619" w:type="dxa"/>
            <w:tcBorders>
              <w:top w:val="single" w:color="000000" w:sz="8" w:space="0"/>
              <w:left w:val="single" w:color="000000" w:sz="8" w:space="0"/>
              <w:bottom w:val="single" w:color="000000" w:sz="8" w:space="0"/>
              <w:right w:val="single" w:color="000000" w:sz="8" w:space="0"/>
            </w:tcBorders>
            <w:tcMar>
              <w:top w:w="54" w:type="dxa"/>
              <w:left w:w="95" w:type="dxa"/>
              <w:bottom w:w="0" w:type="dxa"/>
              <w:right w:w="115" w:type="dxa"/>
            </w:tcMar>
          </w:tcPr>
          <w:p w:rsidR="00FE04C5" w:rsidRDefault="005C24AE" w14:paraId="6C64986C" w14:textId="42C898ED">
            <w:pPr>
              <w:spacing w:before="240" w:line="240" w:lineRule="auto"/>
              <w:rPr>
                <w:sz w:val="24"/>
                <w:szCs w:val="24"/>
              </w:rPr>
            </w:pPr>
            <w:bookmarkStart w:name="_heading=h.gjdgxs" w:colFirst="0" w:colLast="0" w:id="0"/>
            <w:bookmarkEnd w:id="0"/>
            <w:r>
              <w:rPr>
                <w:color w:val="000000"/>
                <w:sz w:val="24"/>
                <w:szCs w:val="24"/>
              </w:rPr>
              <w:t>19</w:t>
            </w:r>
            <w:r w:rsidR="007912FD">
              <w:rPr>
                <w:color w:val="000000"/>
                <w:sz w:val="24"/>
                <w:szCs w:val="24"/>
              </w:rPr>
              <w:t>/0</w:t>
            </w:r>
            <w:r>
              <w:rPr>
                <w:color w:val="000000"/>
                <w:sz w:val="24"/>
                <w:szCs w:val="24"/>
              </w:rPr>
              <w:t>7</w:t>
            </w:r>
            <w:r w:rsidR="007912FD">
              <w:rPr>
                <w:color w:val="000000"/>
                <w:sz w:val="24"/>
                <w:szCs w:val="24"/>
              </w:rPr>
              <w:t>/24</w:t>
            </w:r>
          </w:p>
        </w:tc>
      </w:tr>
    </w:tbl>
    <w:p w:rsidR="424A53E4" w:rsidP="424A53E4" w:rsidRDefault="424A53E4" w14:paraId="79BACFD7" w14:textId="2FAC8892">
      <w:pPr>
        <w:pStyle w:val="Normal"/>
        <w:jc w:val="both"/>
        <w:rPr>
          <w:rFonts w:ascii="Calibri" w:hAnsi="Calibri" w:cs="Calibri" w:asciiTheme="minorAscii" w:hAnsiTheme="minorAscii" w:cstheme="minorAscii"/>
          <w:sz w:val="24"/>
          <w:szCs w:val="24"/>
        </w:rPr>
      </w:pPr>
    </w:p>
    <w:p w:rsidRPr="00CF1A22" w:rsidR="005C24AE" w:rsidP="784F6A69" w:rsidRDefault="005C24AE" w14:paraId="1FC29D93" w14:textId="1CBB9111">
      <w:pPr>
        <w:pStyle w:val="Normal"/>
        <w:jc w:val="both"/>
      </w:pPr>
      <w:r w:rsidRPr="784F6A69" w:rsidR="005C24AE">
        <w:rPr>
          <w:rFonts w:ascii="Calibri" w:hAnsi="Calibri" w:cs="Calibri" w:asciiTheme="minorAscii" w:hAnsiTheme="minorAscii" w:cstheme="minorAscii"/>
          <w:b w:val="1"/>
          <w:bCs w:val="1"/>
          <w:sz w:val="24"/>
          <w:szCs w:val="24"/>
          <w:u w:val="single"/>
        </w:rPr>
        <w:t xml:space="preserve">1.  Rationale </w:t>
      </w:r>
    </w:p>
    <w:p w:rsidRPr="00CF1A22" w:rsidR="005C24AE" w:rsidP="005C24AE" w:rsidRDefault="005C24AE" w14:paraId="0823CD06"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607D10A1"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The aims and values of Eclipse Education ALP are focused on maximising every individuals’ potential to develop into young people who are: Responsible, Respectful, Reflective, Resilient and Ready to be Remarkable!  </w:t>
      </w:r>
    </w:p>
    <w:p w:rsidRPr="00CF1A22" w:rsidR="005C24AE" w:rsidP="005C24AE" w:rsidRDefault="005C24AE" w14:paraId="38F3EC32"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The ability to learn is underpinned by the teaching of basic skills, knowledge, concepts and values particularly through the core subjects of English, Maths and PSHE. Further academic subjects will be offered where a student has a particular interest or talent in this area. </w:t>
      </w:r>
    </w:p>
    <w:p w:rsidRPr="00CF1A22" w:rsidR="005C24AE" w:rsidP="005C24AE" w:rsidRDefault="005C24AE" w14:paraId="00B90FBD"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The provision provides enrichment opportunities to engage and enhance learning. Enrichment opportunities provide memorable experiences and ensure there are no limits to the learning environment and a pupils’ curiosity and a thirst for new experiences and knowledge.  </w:t>
      </w:r>
    </w:p>
    <w:p w:rsidRPr="00CF1A22" w:rsidR="005C24AE" w:rsidP="005C24AE" w:rsidRDefault="005C24AE" w14:paraId="569D6368"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The curriculum is designed to prepare pupils with the knowledge and skills to access the next phase of education, training or employment.  </w:t>
      </w:r>
    </w:p>
    <w:p w:rsidRPr="00CF1A22" w:rsidR="005C24AE" w:rsidP="005C24AE" w:rsidRDefault="005C24AE" w14:paraId="6EFB6AE4"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3E409787"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We are therefore committed to the following principles: </w:t>
      </w:r>
    </w:p>
    <w:p w:rsidRPr="00CF1A22" w:rsidR="005C24AE" w:rsidP="005C24AE" w:rsidRDefault="005C24AE" w14:paraId="4F01E2B2"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To respect and value all individual pupils and staff </w:t>
      </w:r>
    </w:p>
    <w:p w:rsidRPr="00CF1A22" w:rsidR="005C24AE" w:rsidP="005C24AE" w:rsidRDefault="005C24AE" w14:paraId="1662998A"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To provide the highest standards of care and education </w:t>
      </w:r>
    </w:p>
    <w:p w:rsidRPr="00CF1A22" w:rsidR="005C24AE" w:rsidP="005C24AE" w:rsidRDefault="005C24AE" w14:paraId="5FA8F290"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To ensure safety, security and opportunities for success </w:t>
      </w:r>
    </w:p>
    <w:p w:rsidRPr="00CF1A22" w:rsidR="005C24AE" w:rsidP="005C24AE" w:rsidRDefault="005C24AE" w14:paraId="6F6E5753"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To foster pupils’ social, moral, spiritual and cultural development </w:t>
      </w:r>
    </w:p>
    <w:p w:rsidRPr="00CF1A22" w:rsidR="005C24AE" w:rsidP="005C24AE" w:rsidRDefault="005C24AE" w14:paraId="77190342"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281CC29F" w:rsidRDefault="005C24AE" w14:paraId="159F01C7" w14:textId="6C72C851">
      <w:pPr>
        <w:jc w:val="both"/>
        <w:rPr>
          <w:rFonts w:ascii="Calibri" w:hAnsi="Calibri" w:cs="Calibri" w:asciiTheme="minorAscii" w:hAnsiTheme="minorAscii" w:cstheme="minorAscii"/>
          <w:sz w:val="24"/>
          <w:szCs w:val="24"/>
        </w:rPr>
      </w:pPr>
      <w:r w:rsidRPr="281CC29F" w:rsidR="005C24AE">
        <w:rPr>
          <w:rFonts w:ascii="Calibri" w:hAnsi="Calibri" w:cs="Calibri" w:asciiTheme="minorAscii" w:hAnsiTheme="minorAscii" w:cstheme="minorAscii"/>
          <w:sz w:val="24"/>
          <w:szCs w:val="24"/>
        </w:rPr>
        <w:t xml:space="preserve">Eclipse Education ALP delivers a differentiated curriculum which is aligned to pupils’ ages, levels of ability, needs, interests and aspirations. It is coherent, imaginative, </w:t>
      </w:r>
      <w:r w:rsidRPr="281CC29F" w:rsidR="005C24AE">
        <w:rPr>
          <w:rFonts w:ascii="Calibri" w:hAnsi="Calibri" w:cs="Calibri" w:asciiTheme="minorAscii" w:hAnsiTheme="minorAscii" w:cstheme="minorAscii"/>
          <w:sz w:val="24"/>
          <w:szCs w:val="24"/>
        </w:rPr>
        <w:t>well-planned</w:t>
      </w:r>
      <w:r w:rsidRPr="281CC29F" w:rsidR="005C24AE">
        <w:rPr>
          <w:rFonts w:ascii="Calibri" w:hAnsi="Calibri" w:cs="Calibri" w:asciiTheme="minorAscii" w:hAnsiTheme="minorAscii" w:cstheme="minorAscii"/>
          <w:sz w:val="24"/>
          <w:szCs w:val="24"/>
        </w:rPr>
        <w:t xml:space="preserve"> and sequenced, building systematically on prior experiences. There is integrated therapeutic </w:t>
      </w:r>
      <w:r w:rsidRPr="281CC29F" w:rsidR="465C5AA9">
        <w:rPr>
          <w:rFonts w:ascii="Calibri" w:hAnsi="Calibri" w:cs="Calibri" w:asciiTheme="minorAscii" w:hAnsiTheme="minorAscii" w:cstheme="minorAscii"/>
          <w:sz w:val="24"/>
          <w:szCs w:val="24"/>
        </w:rPr>
        <w:t xml:space="preserve">style </w:t>
      </w:r>
      <w:r w:rsidRPr="281CC29F" w:rsidR="005C24AE">
        <w:rPr>
          <w:rFonts w:ascii="Calibri" w:hAnsi="Calibri" w:cs="Calibri" w:asciiTheme="minorAscii" w:hAnsiTheme="minorAscii" w:cstheme="minorAscii"/>
          <w:sz w:val="24"/>
          <w:szCs w:val="24"/>
        </w:rPr>
        <w:t xml:space="preserve">support as necessary and a focus on developing resilience and preparing pupils for the next stage in their lives. </w:t>
      </w:r>
    </w:p>
    <w:p w:rsidRPr="00CF1A22" w:rsidR="005C24AE" w:rsidP="005C24AE" w:rsidRDefault="005C24AE" w14:paraId="1013DA15" w14:textId="77777777">
      <w:pPr>
        <w:jc w:val="both"/>
        <w:rPr>
          <w:rFonts w:asciiTheme="minorHAnsi" w:hAnsiTheme="minorHAnsi" w:cstheme="minorHAnsi"/>
          <w:sz w:val="24"/>
          <w:szCs w:val="24"/>
        </w:rPr>
      </w:pPr>
    </w:p>
    <w:p w:rsidR="005C24AE" w:rsidP="005C24AE" w:rsidRDefault="005C24AE" w14:paraId="124A63E7" w14:textId="77777777">
      <w:pPr>
        <w:rPr>
          <w:rFonts w:asciiTheme="minorHAnsi" w:hAnsiTheme="minorHAnsi" w:cstheme="minorHAnsi"/>
          <w:sz w:val="24"/>
          <w:szCs w:val="24"/>
        </w:rPr>
      </w:pPr>
    </w:p>
    <w:p w:rsidRPr="00CF1A22" w:rsidR="005C24AE" w:rsidP="005C24AE" w:rsidRDefault="005C24AE" w14:paraId="64A2003D" w14:textId="4AE75548">
      <w:pPr>
        <w:rPr>
          <w:rFonts w:asciiTheme="minorHAnsi" w:hAnsiTheme="minorHAnsi" w:cstheme="minorHAnsi"/>
          <w:sz w:val="24"/>
          <w:szCs w:val="24"/>
        </w:rPr>
      </w:pPr>
      <w:r w:rsidRPr="00CF1A22">
        <w:rPr>
          <w:rFonts w:asciiTheme="minorHAnsi" w:hAnsiTheme="minorHAnsi" w:cstheme="minorHAnsi"/>
          <w:sz w:val="24"/>
          <w:szCs w:val="24"/>
        </w:rPr>
        <w:t>Each bespoke curriculum is tailored to ou</w:t>
      </w:r>
      <w:r>
        <w:rPr>
          <w:rFonts w:asciiTheme="minorHAnsi" w:hAnsiTheme="minorHAnsi" w:cstheme="minorHAnsi"/>
          <w:sz w:val="24"/>
          <w:szCs w:val="24"/>
        </w:rPr>
        <w:t xml:space="preserve">r </w:t>
      </w:r>
      <w:r w:rsidRPr="00CF1A22">
        <w:rPr>
          <w:rFonts w:asciiTheme="minorHAnsi" w:hAnsiTheme="minorHAnsi" w:cstheme="minorHAnsi"/>
          <w:sz w:val="24"/>
          <w:szCs w:val="24"/>
        </w:rPr>
        <w:t>pupils’ individual needs and based on a person-centred planning framework. All pupils</w:t>
      </w:r>
      <w:r>
        <w:rPr>
          <w:rFonts w:asciiTheme="minorHAnsi" w:hAnsiTheme="minorHAnsi" w:cstheme="minorHAnsi"/>
          <w:sz w:val="24"/>
          <w:szCs w:val="24"/>
        </w:rPr>
        <w:t xml:space="preserve"> </w:t>
      </w:r>
      <w:r w:rsidRPr="00CF1A22">
        <w:rPr>
          <w:rFonts w:asciiTheme="minorHAnsi" w:hAnsiTheme="minorHAnsi" w:cstheme="minorHAnsi"/>
          <w:sz w:val="24"/>
          <w:szCs w:val="24"/>
        </w:rPr>
        <w:t xml:space="preserve">will have access to a rich curriculum. At the start of a placement a personalised curriculum statement of intent will be put in place for each pupil. These will build a clear path towards accredited courses which are appropriate to ability levels and individual aspirations. </w:t>
      </w:r>
    </w:p>
    <w:p w:rsidR="005C24AE" w:rsidP="005C24AE" w:rsidRDefault="005C24AE" w14:paraId="2C4882F8" w14:textId="77777777">
      <w:pPr>
        <w:jc w:val="both"/>
        <w:rPr>
          <w:rFonts w:asciiTheme="minorHAnsi" w:hAnsiTheme="minorHAnsi" w:cstheme="minorHAnsi"/>
          <w:b/>
          <w:bCs/>
          <w:sz w:val="24"/>
          <w:szCs w:val="24"/>
          <w:u w:val="single"/>
        </w:rPr>
      </w:pPr>
    </w:p>
    <w:p w:rsidRPr="00CF1A22" w:rsidR="005C24AE" w:rsidP="005C24AE" w:rsidRDefault="005C24AE" w14:paraId="6CF62BB7" w14:textId="31A544AE">
      <w:pPr>
        <w:jc w:val="both"/>
        <w:rPr>
          <w:rFonts w:asciiTheme="minorHAnsi" w:hAnsiTheme="minorHAnsi" w:cstheme="minorHAnsi"/>
          <w:b/>
          <w:bCs/>
          <w:sz w:val="24"/>
          <w:szCs w:val="24"/>
          <w:u w:val="single"/>
        </w:rPr>
      </w:pPr>
      <w:r w:rsidRPr="00CF1A22">
        <w:rPr>
          <w:rFonts w:asciiTheme="minorHAnsi" w:hAnsiTheme="minorHAnsi" w:cstheme="minorHAnsi"/>
          <w:b/>
          <w:bCs/>
          <w:sz w:val="24"/>
          <w:szCs w:val="24"/>
          <w:u w:val="single"/>
        </w:rPr>
        <w:t xml:space="preserve">2. Delivery of the curriculum  </w:t>
      </w:r>
    </w:p>
    <w:p w:rsidRPr="00CF1A22" w:rsidR="005C24AE" w:rsidP="005C24AE" w:rsidRDefault="005C24AE" w14:paraId="3AF7F73A"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55D44DB3"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We provide a suitable learning environment for young people with a variety of special educational needs. Our pupils have historically struggled to access a traditional formal curriculum therefore opportunities to include personal development, vocational and functional elements are complimentary to the formal curriculum offer. We put great value on pupils being the best they can be while acknowledging their limitations and knowing how they learn best. </w:t>
      </w:r>
    </w:p>
    <w:p w:rsidRPr="00CF1A22" w:rsidR="005C24AE" w:rsidP="005C24AE" w:rsidRDefault="005C24AE" w14:paraId="4CB5BFDE"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738E7A71"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Education should be fun and we constantly seek to enrich learning opportunities by giving pupils a  say in what they learn and engaging with external cultural partners such as: Museums, Libraries, The National Trust, Fitness, Sport and Leisure Centres, National Park visitor centres and facilities, post-16 providers and places of work, as well as theatres, a range of enrichment activities including animal care centres, equine centres, climbing centres, swimming, golf centres, art club, dance club, creative arts, music production, local football, rugby, tennis, cricket and jujitsu clubs. We also provide the opportunity to complete the skill and voluntary sections of the Duke of Edinburgh award scheme and can offer staff support for pupils to rejoin their Home school to complete the expedition, where appropriate.  </w:t>
      </w:r>
    </w:p>
    <w:p w:rsidRPr="00CF1A22" w:rsidR="005C24AE" w:rsidP="005C24AE" w:rsidRDefault="005C24AE" w14:paraId="3BFC363D"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55B99F4C"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In addition to their learning needs, many students have missed large aspects of their educational entitlement prior to attending the provision, and so they often begin their education here with levels of achievement and skills significantly below age related expectations. </w:t>
      </w:r>
    </w:p>
    <w:p w:rsidRPr="00CF1A22" w:rsidR="005C24AE" w:rsidP="005C24AE" w:rsidRDefault="005C24AE" w14:paraId="4D20F7FB"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04D63C11"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The provision has distinct curriculums relating to Key stage 3 and Key Stage 4. The implementation of the individual curriculum starts with a review of all information available around a young person. This will include the EHCP Objectives and Outcomes where available, looking at the provision required, removing obstacles and enabling access to learning. The referring schools will be asked to provide attainment scores and results of any assessments already completed. A range of learning styles are completed to ensure that the outcomes can be achieved. Larger goals are broken down into smaller steps to form discussion around strategies and approaches that will inform each child’s Individual Education Plans. </w:t>
      </w:r>
    </w:p>
    <w:p w:rsidRPr="00CF1A22" w:rsidR="005C24AE" w:rsidP="005C24AE" w:rsidRDefault="005C24AE" w14:paraId="29CB1086"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6E45AEEE"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Groupings are mostly organised by age and academic ability, while also taking into consideration the relationships in the group. Pupils are provided with access to National Curriculum content alongside Personal development and Enrichment opportunities.  Pupils will also receive careers advice. </w:t>
      </w:r>
    </w:p>
    <w:p w:rsidR="005C24AE" w:rsidP="005C24AE" w:rsidRDefault="005C24AE" w14:paraId="300585FB" w14:textId="77777777">
      <w:pPr>
        <w:jc w:val="both"/>
        <w:rPr>
          <w:rFonts w:asciiTheme="minorHAnsi" w:hAnsiTheme="minorHAnsi" w:cstheme="minorHAnsi"/>
          <w:sz w:val="24"/>
          <w:szCs w:val="24"/>
        </w:rPr>
      </w:pPr>
    </w:p>
    <w:p w:rsidR="005C24AE" w:rsidP="005C24AE" w:rsidRDefault="005C24AE" w14:paraId="7B4BAE97" w14:textId="77777777">
      <w:pPr>
        <w:jc w:val="both"/>
        <w:rPr>
          <w:rFonts w:asciiTheme="minorHAnsi" w:hAnsiTheme="minorHAnsi" w:cstheme="minorHAnsi"/>
          <w:sz w:val="24"/>
          <w:szCs w:val="24"/>
        </w:rPr>
      </w:pPr>
    </w:p>
    <w:p w:rsidRPr="00CF1A22" w:rsidR="005C24AE" w:rsidP="005C24AE" w:rsidRDefault="005C24AE" w14:paraId="0254E0E4" w14:textId="5EF1BF7B">
      <w:pPr>
        <w:jc w:val="both"/>
        <w:rPr>
          <w:rFonts w:asciiTheme="minorHAnsi" w:hAnsiTheme="minorHAnsi" w:cstheme="minorHAnsi"/>
          <w:sz w:val="24"/>
          <w:szCs w:val="24"/>
        </w:rPr>
      </w:pPr>
      <w:r w:rsidRPr="00CF1A22">
        <w:rPr>
          <w:rFonts w:asciiTheme="minorHAnsi" w:hAnsiTheme="minorHAnsi" w:cstheme="minorHAnsi"/>
          <w:sz w:val="24"/>
          <w:szCs w:val="24"/>
        </w:rPr>
        <w:t>Key stage 4 follows core subjects and a combination of functional skills and GCSE curriculums. Pupils will also have careers advice sessions along with college visits and will complete an accredited work experience where appropriate.</w:t>
      </w:r>
    </w:p>
    <w:p w:rsidRPr="00CF1A22" w:rsidR="005C24AE" w:rsidP="005C24AE" w:rsidRDefault="005C24AE" w14:paraId="40E5E0A6" w14:textId="77777777">
      <w:pPr>
        <w:jc w:val="both"/>
        <w:rPr>
          <w:rFonts w:asciiTheme="minorHAnsi" w:hAnsiTheme="minorHAnsi" w:cstheme="minorHAnsi"/>
          <w:b/>
          <w:bCs/>
          <w:sz w:val="24"/>
          <w:szCs w:val="24"/>
          <w:u w:val="single"/>
        </w:rPr>
      </w:pPr>
      <w:r w:rsidRPr="00CF1A22">
        <w:rPr>
          <w:rFonts w:asciiTheme="minorHAnsi" w:hAnsiTheme="minorHAnsi" w:cstheme="minorHAnsi"/>
          <w:b/>
          <w:bCs/>
          <w:sz w:val="24"/>
          <w:szCs w:val="24"/>
          <w:u w:val="single"/>
        </w:rPr>
        <w:t xml:space="preserve">3. Impact </w:t>
      </w:r>
    </w:p>
    <w:p w:rsidRPr="00CF1A22" w:rsidR="005C24AE" w:rsidP="005C24AE" w:rsidRDefault="005C24AE" w14:paraId="4DE818DF"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5C0EF14F"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By implementing a differentiated and modified national curriculum it is intended that Eclipse Education ALP will: </w:t>
      </w:r>
    </w:p>
    <w:p w:rsidRPr="00CF1A22" w:rsidR="005C24AE" w:rsidP="005C24AE" w:rsidRDefault="005C24AE" w14:paraId="444C5CC9"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Optimise the communication skills of all pupils. </w:t>
      </w:r>
    </w:p>
    <w:p w:rsidRPr="00CF1A22" w:rsidR="005C24AE" w:rsidP="005C24AE" w:rsidRDefault="005C24AE" w14:paraId="409052E0"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Cater for the specific needs and learning difficulties of individual pupils as described in their EHCPs, by providing teaching and learning opportunities at an appropriate level. </w:t>
      </w:r>
    </w:p>
    <w:p w:rsidRPr="00CF1A22" w:rsidR="005C24AE" w:rsidP="005C24AE" w:rsidRDefault="005C24AE" w14:paraId="7BC83CA1"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Engage pupils’ interests in personal development and encourage a thirst for learning. </w:t>
      </w:r>
    </w:p>
    <w:p w:rsidRPr="00CF1A22" w:rsidR="005C24AE" w:rsidP="005C24AE" w:rsidRDefault="005C24AE" w14:paraId="4BCAE3D9"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Create a positive learning environment where pupils can work safely. </w:t>
      </w:r>
    </w:p>
    <w:p w:rsidRPr="00CF1A22" w:rsidR="005C24AE" w:rsidP="005C24AE" w:rsidRDefault="005C24AE" w14:paraId="4193E34F"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Allow pupils to interact and learn from each other. </w:t>
      </w:r>
    </w:p>
    <w:p w:rsidRPr="00CF1A22" w:rsidR="005C24AE" w:rsidP="005C24AE" w:rsidRDefault="005C24AE" w14:paraId="6184219E"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Allow all pupils to reach their full potential and achieve their own personal success </w:t>
      </w:r>
    </w:p>
    <w:p w:rsidRPr="00CF1A22" w:rsidR="005C24AE" w:rsidP="005C24AE" w:rsidRDefault="005C24AE" w14:paraId="250A9506"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Give pupils opportunities to develop their key skills including reading. </w:t>
      </w:r>
    </w:p>
    <w:p w:rsidRPr="00CF1A22" w:rsidR="005C24AE" w:rsidP="005C24AE" w:rsidRDefault="005C24AE" w14:paraId="2203CCDD"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06D71148"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It is intended that through their programme of study, our pupils will: </w:t>
      </w:r>
    </w:p>
    <w:p w:rsidRPr="00CF1A22" w:rsidR="005C24AE" w:rsidP="005C24AE" w:rsidRDefault="005C24AE" w14:paraId="03BEA637"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Improve their communication skills. </w:t>
      </w:r>
    </w:p>
    <w:p w:rsidRPr="00CF1A22" w:rsidR="005C24AE" w:rsidP="005C24AE" w:rsidRDefault="005C24AE" w14:paraId="43FB4227"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Improve their reading, writing and mathematical skills. </w:t>
      </w:r>
    </w:p>
    <w:p w:rsidRPr="00CF1A22" w:rsidR="005C24AE" w:rsidP="005C24AE" w:rsidRDefault="005C24AE" w14:paraId="1925B886"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Develop greater levels of independence. </w:t>
      </w:r>
    </w:p>
    <w:p w:rsidRPr="00CF1A22" w:rsidR="005C24AE" w:rsidP="005C24AE" w:rsidRDefault="005C24AE" w14:paraId="5724A4CD"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Have gained the life skills required to function more appropriately in the community. </w:t>
      </w:r>
    </w:p>
    <w:p w:rsidRPr="00CF1A22" w:rsidR="005C24AE" w:rsidP="005C24AE" w:rsidRDefault="005C24AE" w14:paraId="33D32830"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Have gained accreditation to demonstrate the levels to which they have studied. </w:t>
      </w:r>
    </w:p>
    <w:p w:rsidRPr="00CF1A22" w:rsidR="005C24AE" w:rsidP="005C24AE" w:rsidRDefault="005C24AE" w14:paraId="46B97980"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Have gained relevant experiences to inform their decisions about future careers. </w:t>
      </w:r>
    </w:p>
    <w:p w:rsidRPr="00CF1A22" w:rsidR="005C24AE" w:rsidP="005C24AE" w:rsidRDefault="005C24AE" w14:paraId="547708F4"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Have a positive attitude towards their past, present and future learning. </w:t>
      </w:r>
    </w:p>
    <w:p w:rsidRPr="00CF1A22" w:rsidR="005C24AE" w:rsidP="005C24AE" w:rsidRDefault="005C24AE" w14:paraId="759F503B"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Develop confidence to move to the world of work, vocational or higher education. </w:t>
      </w:r>
    </w:p>
    <w:p w:rsidRPr="00CF1A22" w:rsidR="005C24AE" w:rsidP="005C24AE" w:rsidRDefault="005C24AE" w14:paraId="7BD5CE3B"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Have sufficient key skills and self-esteem to approach new situations confidently. </w:t>
      </w:r>
    </w:p>
    <w:p w:rsidRPr="00CF1A22" w:rsidR="005C24AE" w:rsidP="005C24AE" w:rsidRDefault="005C24AE" w14:paraId="5455B5BA" w14:textId="77777777">
      <w:pPr>
        <w:jc w:val="both"/>
        <w:rPr>
          <w:rFonts w:asciiTheme="minorHAnsi" w:hAnsiTheme="minorHAnsi" w:cstheme="minorHAnsi"/>
          <w:sz w:val="24"/>
          <w:szCs w:val="24"/>
        </w:rPr>
      </w:pPr>
      <w:r w:rsidRPr="00CF1A22">
        <w:rPr>
          <w:rFonts w:asciiTheme="minorHAnsi" w:hAnsiTheme="minorHAnsi" w:cstheme="minorHAnsi"/>
          <w:sz w:val="24"/>
          <w:szCs w:val="24"/>
        </w:rPr>
        <w:t>•</w:t>
      </w:r>
      <w:r w:rsidRPr="00CF1A22">
        <w:rPr>
          <w:rFonts w:asciiTheme="minorHAnsi" w:hAnsiTheme="minorHAnsi" w:cstheme="minorHAnsi"/>
          <w:sz w:val="24"/>
          <w:szCs w:val="24"/>
        </w:rPr>
        <w:tab/>
      </w:r>
      <w:r w:rsidRPr="00CF1A22">
        <w:rPr>
          <w:rFonts w:asciiTheme="minorHAnsi" w:hAnsiTheme="minorHAnsi" w:cstheme="minorHAnsi"/>
          <w:sz w:val="24"/>
          <w:szCs w:val="24"/>
        </w:rPr>
        <w:t xml:space="preserve">Have gained emotional regulation strategies to help them overcome potential barriers to learning and communication. </w:t>
      </w:r>
    </w:p>
    <w:p w:rsidRPr="00CF1A22" w:rsidR="005C24AE" w:rsidP="005C24AE" w:rsidRDefault="005C24AE" w14:paraId="772989FE" w14:textId="77777777">
      <w:pPr>
        <w:rPr>
          <w:rFonts w:asciiTheme="minorHAnsi" w:hAnsiTheme="minorHAnsi" w:cstheme="minorHAnsi"/>
          <w:sz w:val="24"/>
          <w:szCs w:val="24"/>
        </w:rPr>
      </w:pPr>
      <w:r w:rsidRPr="00CF1A22">
        <w:rPr>
          <w:rFonts w:asciiTheme="minorHAnsi" w:hAnsiTheme="minorHAnsi" w:cstheme="minorHAnsi"/>
          <w:sz w:val="24"/>
          <w:szCs w:val="24"/>
        </w:rPr>
        <w:br w:type="page"/>
      </w:r>
    </w:p>
    <w:p w:rsidRPr="00CF1A22" w:rsidR="005C24AE" w:rsidP="005C24AE" w:rsidRDefault="005C24AE" w14:paraId="0F9FC4EB"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7F5237B8" w14:textId="77777777">
      <w:pPr>
        <w:jc w:val="both"/>
        <w:rPr>
          <w:rFonts w:asciiTheme="minorHAnsi" w:hAnsiTheme="minorHAnsi" w:cstheme="minorHAnsi"/>
          <w:b/>
          <w:bCs/>
          <w:sz w:val="24"/>
          <w:szCs w:val="24"/>
          <w:u w:val="single"/>
        </w:rPr>
      </w:pPr>
      <w:r w:rsidRPr="00CF1A22">
        <w:rPr>
          <w:rFonts w:asciiTheme="minorHAnsi" w:hAnsiTheme="minorHAnsi" w:cstheme="minorHAnsi"/>
          <w:b/>
          <w:bCs/>
          <w:sz w:val="24"/>
          <w:szCs w:val="24"/>
          <w:u w:val="single"/>
        </w:rPr>
        <w:t xml:space="preserve"> 4. Monitoring of the curriculum </w:t>
      </w:r>
    </w:p>
    <w:p w:rsidRPr="00CF1A22" w:rsidR="005C24AE" w:rsidP="005C24AE" w:rsidRDefault="005C24AE" w14:paraId="10309192"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324D4E1B"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The Director has overall responsibility for the curriculum in conjunction ensuring appropriate breadth and depth. Tutors are asked to undertake an annual evaluation of their subject area including an evaluation of progress data. Weekly staff meetings offer opportunity for peer evaluation. Tutors will also be formerly observed regularly to ensure the quality of teaching is monitored and continually improved. </w:t>
      </w:r>
    </w:p>
    <w:p w:rsidRPr="00CF1A22" w:rsidR="005C24AE" w:rsidP="005C24AE" w:rsidRDefault="005C24AE" w14:paraId="5ABA20E6"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318CEF26"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06BF453F" w14:textId="77777777">
      <w:pPr>
        <w:jc w:val="both"/>
        <w:rPr>
          <w:rFonts w:asciiTheme="minorHAnsi" w:hAnsiTheme="minorHAnsi" w:cstheme="minorHAnsi"/>
          <w:b/>
          <w:bCs/>
          <w:sz w:val="24"/>
          <w:szCs w:val="24"/>
          <w:u w:val="single"/>
        </w:rPr>
      </w:pPr>
      <w:r w:rsidRPr="00CF1A22">
        <w:rPr>
          <w:rFonts w:asciiTheme="minorHAnsi" w:hAnsiTheme="minorHAnsi" w:cstheme="minorHAnsi"/>
          <w:b/>
          <w:bCs/>
          <w:sz w:val="24"/>
          <w:szCs w:val="24"/>
          <w:u w:val="single"/>
        </w:rPr>
        <w:t xml:space="preserve"> 5. Inclusion and Intervention </w:t>
      </w:r>
    </w:p>
    <w:p w:rsidRPr="00CF1A22" w:rsidR="005C24AE" w:rsidP="005C24AE" w:rsidRDefault="005C24AE" w14:paraId="72D03D74"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39D2747E"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The needs of the pupils educated at Eclipse Education ALP are varied and often complex. Successful inclusion relies on a good understanding of, and absolute respect for, the needs of the individual. Wherever possible, the provision gives all individuals the same access and opportunities as every other pupil. </w:t>
      </w:r>
    </w:p>
    <w:p w:rsidRPr="00CF1A22" w:rsidR="005C24AE" w:rsidP="005C24AE" w:rsidRDefault="005C24AE" w14:paraId="59CBC83C"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79CD840E"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Each tutor sets suitable learning challenges, responds to pupils’ needs and seeks to overcome all potential barriers to learning. This is supported by: </w:t>
      </w:r>
    </w:p>
    <w:p w:rsidRPr="00CF1A22" w:rsidR="005C24AE" w:rsidP="005C24AE" w:rsidRDefault="005C24AE" w14:paraId="5C4FFA41" w14:textId="77777777">
      <w:pPr>
        <w:pStyle w:val="ListParagraph"/>
        <w:numPr>
          <w:ilvl w:val="0"/>
          <w:numId w:val="14"/>
        </w:numPr>
        <w:jc w:val="both"/>
        <w:rPr>
          <w:rFonts w:asciiTheme="minorHAnsi" w:hAnsiTheme="minorHAnsi" w:cstheme="minorHAnsi"/>
          <w:sz w:val="24"/>
          <w:szCs w:val="24"/>
        </w:rPr>
      </w:pPr>
      <w:r w:rsidRPr="00CF1A22">
        <w:rPr>
          <w:rFonts w:asciiTheme="minorHAnsi" w:hAnsiTheme="minorHAnsi" w:cstheme="minorHAnsi"/>
          <w:sz w:val="24"/>
          <w:szCs w:val="24"/>
        </w:rPr>
        <w:t>Past assessment data and information including SATS, CATS, school reports, S&amp;L report, EP report, EHCP</w:t>
      </w:r>
    </w:p>
    <w:p w:rsidRPr="00CF1A22" w:rsidR="005C24AE" w:rsidP="005C24AE" w:rsidRDefault="005C24AE" w14:paraId="0340827B" w14:textId="77777777">
      <w:pPr>
        <w:pStyle w:val="ListParagraph"/>
        <w:numPr>
          <w:ilvl w:val="0"/>
          <w:numId w:val="14"/>
        </w:numPr>
        <w:jc w:val="both"/>
        <w:rPr>
          <w:rFonts w:asciiTheme="minorHAnsi" w:hAnsiTheme="minorHAnsi" w:cstheme="minorHAnsi"/>
          <w:sz w:val="24"/>
          <w:szCs w:val="24"/>
        </w:rPr>
      </w:pPr>
      <w:r w:rsidRPr="00CF1A22">
        <w:rPr>
          <w:rFonts w:asciiTheme="minorHAnsi" w:hAnsiTheme="minorHAnsi" w:cstheme="minorHAnsi"/>
          <w:sz w:val="24"/>
          <w:szCs w:val="24"/>
        </w:rPr>
        <w:t xml:space="preserve">Regular data analysis </w:t>
      </w:r>
    </w:p>
    <w:p w:rsidRPr="00CF1A22" w:rsidR="005C24AE" w:rsidP="005C24AE" w:rsidRDefault="005C24AE" w14:paraId="5CDA6D9E" w14:textId="77777777">
      <w:pPr>
        <w:pStyle w:val="ListParagraph"/>
        <w:numPr>
          <w:ilvl w:val="0"/>
          <w:numId w:val="14"/>
        </w:numPr>
        <w:jc w:val="both"/>
        <w:rPr>
          <w:rFonts w:asciiTheme="minorHAnsi" w:hAnsiTheme="minorHAnsi" w:cstheme="minorHAnsi"/>
          <w:sz w:val="24"/>
          <w:szCs w:val="24"/>
        </w:rPr>
      </w:pPr>
      <w:r w:rsidRPr="00CF1A22">
        <w:rPr>
          <w:rFonts w:asciiTheme="minorHAnsi" w:hAnsiTheme="minorHAnsi" w:cstheme="minorHAnsi"/>
          <w:sz w:val="24"/>
          <w:szCs w:val="24"/>
        </w:rPr>
        <w:t xml:space="preserve">Pupil progress reports and meetings </w:t>
      </w:r>
    </w:p>
    <w:p w:rsidRPr="00CF1A22" w:rsidR="005C24AE" w:rsidP="005C24AE" w:rsidRDefault="005C24AE" w14:paraId="42AC2470" w14:textId="77777777">
      <w:pPr>
        <w:jc w:val="both"/>
        <w:rPr>
          <w:rFonts w:asciiTheme="minorHAnsi" w:hAnsiTheme="minorHAnsi" w:cstheme="minorHAnsi"/>
          <w:sz w:val="24"/>
          <w:szCs w:val="24"/>
        </w:rPr>
      </w:pPr>
    </w:p>
    <w:p w:rsidRPr="00CF1A22" w:rsidR="005C24AE" w:rsidP="005C24AE" w:rsidRDefault="005C24AE" w14:paraId="60FEA597" w14:textId="77777777">
      <w:pPr>
        <w:jc w:val="both"/>
        <w:rPr>
          <w:rFonts w:asciiTheme="minorHAnsi" w:hAnsiTheme="minorHAnsi" w:cstheme="minorHAnsi"/>
          <w:b/>
          <w:bCs/>
          <w:sz w:val="24"/>
          <w:szCs w:val="24"/>
          <w:u w:val="single"/>
        </w:rPr>
      </w:pPr>
      <w:r w:rsidRPr="00CF1A22">
        <w:rPr>
          <w:rFonts w:asciiTheme="minorHAnsi" w:hAnsiTheme="minorHAnsi" w:cstheme="minorHAnsi"/>
          <w:b/>
          <w:bCs/>
          <w:sz w:val="24"/>
          <w:szCs w:val="24"/>
          <w:u w:val="single"/>
        </w:rPr>
        <w:t xml:space="preserve"> 6. Safeguarding children </w:t>
      </w:r>
    </w:p>
    <w:p w:rsidRPr="00CF1A22" w:rsidR="005C24AE" w:rsidP="005C24AE" w:rsidRDefault="005C24AE" w14:paraId="242387F2"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02230C96"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All elements of the provision curriculum are underpinned by the need to enable pupils to feel safe and adopt safe practices. The Designated Safeguarding Lead (DSL) supports staff in delivering specific safeguarding issues within the curriculum, including how to keep safe, e-safety, anti-bullying, antiradicalisation, FGM, County Lines and a wide range of awareness raising topics. </w:t>
      </w:r>
    </w:p>
    <w:p w:rsidRPr="00CF1A22" w:rsidR="005C24AE" w:rsidP="005C24AE" w:rsidRDefault="005C24AE" w14:paraId="15A6766A"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2E198286" w14:textId="77777777">
      <w:pPr>
        <w:jc w:val="both"/>
        <w:rPr>
          <w:rFonts w:asciiTheme="minorHAnsi" w:hAnsiTheme="minorHAnsi" w:cstheme="minorHAnsi"/>
          <w:b/>
          <w:bCs/>
          <w:sz w:val="24"/>
          <w:szCs w:val="24"/>
          <w:u w:val="single"/>
        </w:rPr>
      </w:pPr>
      <w:r w:rsidRPr="00CF1A22">
        <w:rPr>
          <w:rFonts w:asciiTheme="minorHAnsi" w:hAnsiTheme="minorHAnsi" w:cstheme="minorHAnsi"/>
          <w:b/>
          <w:bCs/>
          <w:sz w:val="24"/>
          <w:szCs w:val="24"/>
          <w:u w:val="single"/>
        </w:rPr>
        <w:t xml:space="preserve"> 7. Non-partisan views </w:t>
      </w:r>
    </w:p>
    <w:p w:rsidRPr="00CF1A22" w:rsidR="005C24AE" w:rsidP="005C24AE" w:rsidRDefault="005C24AE" w14:paraId="23B11A22"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 </w:t>
      </w:r>
    </w:p>
    <w:p w:rsidRPr="00CF1A22" w:rsidR="005C24AE" w:rsidP="005C24AE" w:rsidRDefault="005C24AE" w14:paraId="5C4460D1" w14:textId="77777777">
      <w:pPr>
        <w:jc w:val="both"/>
        <w:rPr>
          <w:rFonts w:asciiTheme="minorHAnsi" w:hAnsiTheme="minorHAnsi" w:cstheme="minorHAnsi"/>
          <w:sz w:val="24"/>
          <w:szCs w:val="24"/>
        </w:rPr>
      </w:pPr>
      <w:r w:rsidRPr="00CF1A22">
        <w:rPr>
          <w:rFonts w:asciiTheme="minorHAnsi" w:hAnsiTheme="minorHAnsi" w:cstheme="minorHAnsi"/>
          <w:sz w:val="24"/>
          <w:szCs w:val="24"/>
        </w:rPr>
        <w:t xml:space="preserve">Our curriculum encourages pupils to respect the fundamental British values of democracy, the rule of the law, individual liberty and mutual respect and tolerance of those with different faiths and beliefs. Our curriculum is designed to be non-partisan and our staff code of conduct reminds those with an influence over our students to always maintain a non-partisan approach during curriculum delivery. </w:t>
      </w:r>
    </w:p>
    <w:p w:rsidRPr="00CF1A22" w:rsidR="005C24AE" w:rsidP="005C24AE" w:rsidRDefault="005C24AE" w14:paraId="4643234B" w14:textId="77777777">
      <w:pPr>
        <w:rPr>
          <w:rFonts w:asciiTheme="minorHAnsi" w:hAnsiTheme="minorHAnsi" w:cstheme="minorHAnsi"/>
          <w:sz w:val="24"/>
          <w:szCs w:val="24"/>
        </w:rPr>
      </w:pPr>
      <w:r w:rsidRPr="00CF1A22">
        <w:rPr>
          <w:rFonts w:asciiTheme="minorHAnsi" w:hAnsiTheme="minorHAnsi" w:cstheme="minorHAnsi"/>
          <w:sz w:val="24"/>
          <w:szCs w:val="24"/>
        </w:rPr>
        <w:br w:type="page"/>
      </w:r>
    </w:p>
    <w:p w:rsidRPr="00CF1A22" w:rsidR="005C24AE" w:rsidP="005C24AE" w:rsidRDefault="005C24AE" w14:paraId="18ADC745" w14:textId="77777777">
      <w:pPr>
        <w:jc w:val="both"/>
        <w:rPr>
          <w:rFonts w:asciiTheme="minorHAnsi" w:hAnsiTheme="minorHAnsi" w:cstheme="minorHAnsi"/>
          <w:b/>
          <w:bCs/>
          <w:sz w:val="24"/>
          <w:szCs w:val="24"/>
          <w:u w:val="single"/>
        </w:rPr>
      </w:pPr>
      <w:r w:rsidRPr="00CF1A22">
        <w:rPr>
          <w:rFonts w:asciiTheme="minorHAnsi" w:hAnsiTheme="minorHAnsi" w:cstheme="minorHAnsi"/>
          <w:b/>
          <w:bCs/>
          <w:sz w:val="24"/>
          <w:szCs w:val="24"/>
          <w:u w:val="single"/>
        </w:rPr>
        <w:t>Sample Timetable</w:t>
      </w:r>
    </w:p>
    <w:tbl>
      <w:tblPr>
        <w:tblStyle w:val="TableGrid0"/>
        <w:tblW w:w="0" w:type="auto"/>
        <w:tblLook w:val="04A0" w:firstRow="1" w:lastRow="0" w:firstColumn="1" w:lastColumn="0" w:noHBand="0" w:noVBand="1"/>
      </w:tblPr>
      <w:tblGrid>
        <w:gridCol w:w="3485"/>
        <w:gridCol w:w="2747"/>
        <w:gridCol w:w="4224"/>
      </w:tblGrid>
      <w:tr w:rsidRPr="00CF1A22" w:rsidR="005C24AE" w:rsidTr="001457A8" w14:paraId="36B7DA15" w14:textId="77777777">
        <w:tc>
          <w:tcPr>
            <w:tcW w:w="3485" w:type="dxa"/>
          </w:tcPr>
          <w:p w:rsidRPr="00CF1A22" w:rsidR="005C24AE" w:rsidP="001457A8" w:rsidRDefault="005C24AE" w14:paraId="5DC25F6E" w14:textId="77777777">
            <w:pPr>
              <w:jc w:val="both"/>
              <w:rPr>
                <w:rFonts w:cstheme="minorHAnsi"/>
                <w:b/>
                <w:bCs/>
                <w:sz w:val="24"/>
                <w:szCs w:val="24"/>
              </w:rPr>
            </w:pPr>
            <w:r w:rsidRPr="00CF1A22">
              <w:rPr>
                <w:rFonts w:cstheme="minorHAnsi"/>
                <w:b/>
                <w:bCs/>
                <w:sz w:val="24"/>
                <w:szCs w:val="24"/>
              </w:rPr>
              <w:t>Time</w:t>
            </w:r>
          </w:p>
        </w:tc>
        <w:tc>
          <w:tcPr>
            <w:tcW w:w="2747" w:type="dxa"/>
          </w:tcPr>
          <w:p w:rsidRPr="00CF1A22" w:rsidR="005C24AE" w:rsidP="001457A8" w:rsidRDefault="005C24AE" w14:paraId="04D3F61A" w14:textId="77777777">
            <w:pPr>
              <w:jc w:val="both"/>
              <w:rPr>
                <w:rFonts w:cstheme="minorHAnsi"/>
                <w:b/>
                <w:bCs/>
                <w:sz w:val="24"/>
                <w:szCs w:val="24"/>
              </w:rPr>
            </w:pPr>
            <w:r w:rsidRPr="00CF1A22">
              <w:rPr>
                <w:rFonts w:cstheme="minorHAnsi"/>
                <w:b/>
                <w:bCs/>
                <w:sz w:val="24"/>
                <w:szCs w:val="24"/>
              </w:rPr>
              <w:t>Subject</w:t>
            </w:r>
          </w:p>
        </w:tc>
        <w:tc>
          <w:tcPr>
            <w:tcW w:w="4224" w:type="dxa"/>
          </w:tcPr>
          <w:p w:rsidRPr="00CF1A22" w:rsidR="005C24AE" w:rsidP="001457A8" w:rsidRDefault="005C24AE" w14:paraId="5294EF94" w14:textId="77777777">
            <w:pPr>
              <w:jc w:val="both"/>
              <w:rPr>
                <w:rFonts w:cstheme="minorHAnsi"/>
                <w:b/>
                <w:bCs/>
                <w:sz w:val="24"/>
                <w:szCs w:val="24"/>
              </w:rPr>
            </w:pPr>
            <w:r w:rsidRPr="00CF1A22">
              <w:rPr>
                <w:rFonts w:cstheme="minorHAnsi"/>
                <w:b/>
                <w:bCs/>
                <w:sz w:val="24"/>
                <w:szCs w:val="24"/>
              </w:rPr>
              <w:t>Additional Information</w:t>
            </w:r>
          </w:p>
        </w:tc>
      </w:tr>
      <w:tr w:rsidRPr="00CF1A22" w:rsidR="005C24AE" w:rsidTr="001457A8" w14:paraId="3FDC40A8" w14:textId="77777777">
        <w:tc>
          <w:tcPr>
            <w:tcW w:w="3485" w:type="dxa"/>
          </w:tcPr>
          <w:p w:rsidRPr="00CF1A22" w:rsidR="005C24AE" w:rsidP="001457A8" w:rsidRDefault="005C24AE" w14:paraId="46361EE3" w14:textId="77777777">
            <w:pPr>
              <w:jc w:val="both"/>
              <w:rPr>
                <w:rFonts w:cstheme="minorHAnsi"/>
                <w:sz w:val="24"/>
                <w:szCs w:val="24"/>
              </w:rPr>
            </w:pPr>
            <w:r w:rsidRPr="00CF1A22">
              <w:rPr>
                <w:rFonts w:cstheme="minorHAnsi"/>
                <w:sz w:val="24"/>
                <w:szCs w:val="24"/>
              </w:rPr>
              <w:t>9-10</w:t>
            </w:r>
          </w:p>
        </w:tc>
        <w:tc>
          <w:tcPr>
            <w:tcW w:w="2747" w:type="dxa"/>
          </w:tcPr>
          <w:p w:rsidRPr="00CF1A22" w:rsidR="005C24AE" w:rsidP="001457A8" w:rsidRDefault="005C24AE" w14:paraId="254BBA57" w14:textId="77777777">
            <w:pPr>
              <w:jc w:val="both"/>
              <w:rPr>
                <w:rFonts w:cstheme="minorHAnsi"/>
                <w:sz w:val="24"/>
                <w:szCs w:val="24"/>
              </w:rPr>
            </w:pPr>
            <w:r w:rsidRPr="00CF1A22">
              <w:rPr>
                <w:rFonts w:cstheme="minorHAnsi"/>
                <w:sz w:val="24"/>
                <w:szCs w:val="24"/>
              </w:rPr>
              <w:t xml:space="preserve">PSHE </w:t>
            </w:r>
          </w:p>
        </w:tc>
        <w:tc>
          <w:tcPr>
            <w:tcW w:w="4224" w:type="dxa"/>
          </w:tcPr>
          <w:p w:rsidRPr="00CF1A22" w:rsidR="005C24AE" w:rsidP="001457A8" w:rsidRDefault="005C24AE" w14:paraId="65386735" w14:textId="77777777">
            <w:pPr>
              <w:jc w:val="both"/>
              <w:rPr>
                <w:rFonts w:cstheme="minorHAnsi"/>
                <w:sz w:val="24"/>
                <w:szCs w:val="24"/>
              </w:rPr>
            </w:pPr>
            <w:r w:rsidRPr="00CF1A22">
              <w:rPr>
                <w:rFonts w:cstheme="minorHAnsi"/>
                <w:sz w:val="24"/>
                <w:szCs w:val="24"/>
              </w:rPr>
              <w:t xml:space="preserve">Flexible for different arrival times. </w:t>
            </w:r>
          </w:p>
        </w:tc>
      </w:tr>
      <w:tr w:rsidRPr="00CF1A22" w:rsidR="005C24AE" w:rsidTr="001457A8" w14:paraId="5495F245" w14:textId="77777777">
        <w:tc>
          <w:tcPr>
            <w:tcW w:w="3485" w:type="dxa"/>
          </w:tcPr>
          <w:p w:rsidRPr="00CF1A22" w:rsidR="005C24AE" w:rsidP="001457A8" w:rsidRDefault="005C24AE" w14:paraId="7FA95627" w14:textId="77777777">
            <w:pPr>
              <w:jc w:val="both"/>
              <w:rPr>
                <w:rFonts w:cstheme="minorHAnsi"/>
                <w:sz w:val="24"/>
                <w:szCs w:val="24"/>
              </w:rPr>
            </w:pPr>
            <w:r w:rsidRPr="00CF1A22">
              <w:rPr>
                <w:rFonts w:cstheme="minorHAnsi"/>
                <w:sz w:val="24"/>
                <w:szCs w:val="24"/>
              </w:rPr>
              <w:t>10-1045</w:t>
            </w:r>
          </w:p>
        </w:tc>
        <w:tc>
          <w:tcPr>
            <w:tcW w:w="2747" w:type="dxa"/>
          </w:tcPr>
          <w:p w:rsidRPr="00CF1A22" w:rsidR="005C24AE" w:rsidP="001457A8" w:rsidRDefault="005C24AE" w14:paraId="1E5B104E" w14:textId="77777777">
            <w:pPr>
              <w:jc w:val="both"/>
              <w:rPr>
                <w:rFonts w:cstheme="minorHAnsi"/>
                <w:sz w:val="24"/>
                <w:szCs w:val="24"/>
              </w:rPr>
            </w:pPr>
            <w:r w:rsidRPr="00CF1A22">
              <w:rPr>
                <w:rFonts w:cstheme="minorHAnsi"/>
                <w:sz w:val="24"/>
                <w:szCs w:val="24"/>
              </w:rPr>
              <w:t>Literacy</w:t>
            </w:r>
          </w:p>
        </w:tc>
        <w:tc>
          <w:tcPr>
            <w:tcW w:w="4224" w:type="dxa"/>
          </w:tcPr>
          <w:p w:rsidRPr="00CF1A22" w:rsidR="005C24AE" w:rsidP="001457A8" w:rsidRDefault="005C24AE" w14:paraId="268D36D0" w14:textId="77777777">
            <w:pPr>
              <w:jc w:val="both"/>
              <w:rPr>
                <w:rFonts w:cstheme="minorHAnsi"/>
                <w:sz w:val="24"/>
                <w:szCs w:val="24"/>
              </w:rPr>
            </w:pPr>
            <w:r w:rsidRPr="00CF1A22">
              <w:rPr>
                <w:rFonts w:cstheme="minorHAnsi"/>
                <w:sz w:val="24"/>
                <w:szCs w:val="24"/>
              </w:rPr>
              <w:t>15 minute chunks</w:t>
            </w:r>
          </w:p>
          <w:p w:rsidRPr="00CF1A22" w:rsidR="005C24AE" w:rsidP="005C24AE" w:rsidRDefault="005C24AE" w14:paraId="127C7F10" w14:textId="77777777">
            <w:pPr>
              <w:pStyle w:val="ListParagraph"/>
              <w:numPr>
                <w:ilvl w:val="0"/>
                <w:numId w:val="12"/>
              </w:numPr>
              <w:jc w:val="both"/>
              <w:rPr>
                <w:rFonts w:cstheme="minorHAnsi"/>
                <w:sz w:val="24"/>
                <w:szCs w:val="24"/>
              </w:rPr>
            </w:pPr>
            <w:r w:rsidRPr="00CF1A22">
              <w:rPr>
                <w:rFonts w:cstheme="minorHAnsi"/>
                <w:sz w:val="24"/>
                <w:szCs w:val="24"/>
              </w:rPr>
              <w:t>Reading for pleasure</w:t>
            </w:r>
          </w:p>
          <w:p w:rsidRPr="00CF1A22" w:rsidR="005C24AE" w:rsidP="005C24AE" w:rsidRDefault="005C24AE" w14:paraId="4D2356D0" w14:textId="77777777">
            <w:pPr>
              <w:pStyle w:val="ListParagraph"/>
              <w:numPr>
                <w:ilvl w:val="0"/>
                <w:numId w:val="12"/>
              </w:numPr>
              <w:jc w:val="both"/>
              <w:rPr>
                <w:rFonts w:cstheme="minorHAnsi"/>
                <w:sz w:val="24"/>
                <w:szCs w:val="24"/>
              </w:rPr>
            </w:pPr>
            <w:r w:rsidRPr="00CF1A22">
              <w:rPr>
                <w:rFonts w:cstheme="minorHAnsi"/>
                <w:sz w:val="24"/>
                <w:szCs w:val="24"/>
              </w:rPr>
              <w:t>Reading for a purpose</w:t>
            </w:r>
          </w:p>
          <w:p w:rsidRPr="00CF1A22" w:rsidR="005C24AE" w:rsidP="005C24AE" w:rsidRDefault="005C24AE" w14:paraId="5FC646C6" w14:textId="77777777">
            <w:pPr>
              <w:pStyle w:val="ListParagraph"/>
              <w:numPr>
                <w:ilvl w:val="0"/>
                <w:numId w:val="12"/>
              </w:numPr>
              <w:jc w:val="both"/>
              <w:rPr>
                <w:rFonts w:cstheme="minorHAnsi"/>
                <w:sz w:val="24"/>
                <w:szCs w:val="24"/>
              </w:rPr>
            </w:pPr>
            <w:r w:rsidRPr="00CF1A22">
              <w:rPr>
                <w:rFonts w:cstheme="minorHAnsi"/>
                <w:sz w:val="24"/>
                <w:szCs w:val="24"/>
              </w:rPr>
              <w:t>Writing</w:t>
            </w:r>
          </w:p>
        </w:tc>
      </w:tr>
      <w:tr w:rsidRPr="00CF1A22" w:rsidR="005C24AE" w:rsidTr="001457A8" w14:paraId="5263C226" w14:textId="77777777">
        <w:tc>
          <w:tcPr>
            <w:tcW w:w="3485" w:type="dxa"/>
          </w:tcPr>
          <w:p w:rsidRPr="00CF1A22" w:rsidR="005C24AE" w:rsidP="001457A8" w:rsidRDefault="005C24AE" w14:paraId="177C20D4" w14:textId="77777777">
            <w:pPr>
              <w:jc w:val="both"/>
              <w:rPr>
                <w:rFonts w:cstheme="minorHAnsi"/>
                <w:sz w:val="24"/>
                <w:szCs w:val="24"/>
              </w:rPr>
            </w:pPr>
            <w:r w:rsidRPr="00CF1A22">
              <w:rPr>
                <w:rFonts w:cstheme="minorHAnsi"/>
                <w:sz w:val="24"/>
                <w:szCs w:val="24"/>
              </w:rPr>
              <w:t>1045-11</w:t>
            </w:r>
          </w:p>
        </w:tc>
        <w:tc>
          <w:tcPr>
            <w:tcW w:w="2747" w:type="dxa"/>
          </w:tcPr>
          <w:p w:rsidRPr="00CF1A22" w:rsidR="005C24AE" w:rsidP="001457A8" w:rsidRDefault="005C24AE" w14:paraId="10041DBD" w14:textId="77777777">
            <w:pPr>
              <w:jc w:val="both"/>
              <w:rPr>
                <w:rFonts w:cstheme="minorHAnsi"/>
                <w:sz w:val="24"/>
                <w:szCs w:val="24"/>
              </w:rPr>
            </w:pPr>
            <w:r w:rsidRPr="00CF1A22">
              <w:rPr>
                <w:rFonts w:cstheme="minorHAnsi"/>
                <w:sz w:val="24"/>
                <w:szCs w:val="24"/>
              </w:rPr>
              <w:t>Break</w:t>
            </w:r>
          </w:p>
        </w:tc>
        <w:tc>
          <w:tcPr>
            <w:tcW w:w="4224" w:type="dxa"/>
          </w:tcPr>
          <w:p w:rsidRPr="00CF1A22" w:rsidR="005C24AE" w:rsidP="001457A8" w:rsidRDefault="005C24AE" w14:paraId="08F5A265" w14:textId="77777777">
            <w:pPr>
              <w:jc w:val="both"/>
              <w:rPr>
                <w:rFonts w:cstheme="minorHAnsi"/>
                <w:sz w:val="24"/>
                <w:szCs w:val="24"/>
              </w:rPr>
            </w:pPr>
            <w:r w:rsidRPr="00CF1A22">
              <w:rPr>
                <w:rFonts w:cstheme="minorHAnsi"/>
                <w:sz w:val="24"/>
                <w:szCs w:val="24"/>
              </w:rPr>
              <w:t>Outside, switch, ipad, laptop</w:t>
            </w:r>
          </w:p>
        </w:tc>
      </w:tr>
      <w:tr w:rsidRPr="00CF1A22" w:rsidR="005C24AE" w:rsidTr="001457A8" w14:paraId="36AD037B" w14:textId="77777777">
        <w:tc>
          <w:tcPr>
            <w:tcW w:w="3485" w:type="dxa"/>
          </w:tcPr>
          <w:p w:rsidRPr="00CF1A22" w:rsidR="005C24AE" w:rsidP="001457A8" w:rsidRDefault="005C24AE" w14:paraId="581C1441" w14:textId="77777777">
            <w:pPr>
              <w:jc w:val="both"/>
              <w:rPr>
                <w:rFonts w:cstheme="minorHAnsi"/>
                <w:sz w:val="24"/>
                <w:szCs w:val="24"/>
              </w:rPr>
            </w:pPr>
            <w:r w:rsidRPr="00CF1A22">
              <w:rPr>
                <w:rFonts w:cstheme="minorHAnsi"/>
                <w:sz w:val="24"/>
                <w:szCs w:val="24"/>
              </w:rPr>
              <w:t>11-1145</w:t>
            </w:r>
          </w:p>
        </w:tc>
        <w:tc>
          <w:tcPr>
            <w:tcW w:w="2747" w:type="dxa"/>
          </w:tcPr>
          <w:p w:rsidRPr="00CF1A22" w:rsidR="005C24AE" w:rsidP="001457A8" w:rsidRDefault="005C24AE" w14:paraId="4841E365" w14:textId="77777777">
            <w:pPr>
              <w:jc w:val="both"/>
              <w:rPr>
                <w:rFonts w:cstheme="minorHAnsi"/>
                <w:sz w:val="24"/>
                <w:szCs w:val="24"/>
              </w:rPr>
            </w:pPr>
            <w:r w:rsidRPr="00CF1A22">
              <w:rPr>
                <w:rFonts w:cstheme="minorHAnsi"/>
                <w:sz w:val="24"/>
                <w:szCs w:val="24"/>
              </w:rPr>
              <w:t>Numeracy</w:t>
            </w:r>
          </w:p>
        </w:tc>
        <w:tc>
          <w:tcPr>
            <w:tcW w:w="4224" w:type="dxa"/>
          </w:tcPr>
          <w:p w:rsidRPr="00CF1A22" w:rsidR="005C24AE" w:rsidP="001457A8" w:rsidRDefault="005C24AE" w14:paraId="22BD751B" w14:textId="77777777">
            <w:pPr>
              <w:jc w:val="both"/>
              <w:rPr>
                <w:rFonts w:cstheme="minorHAnsi"/>
                <w:sz w:val="24"/>
                <w:szCs w:val="24"/>
              </w:rPr>
            </w:pPr>
            <w:r w:rsidRPr="00CF1A22">
              <w:rPr>
                <w:rFonts w:cstheme="minorHAnsi"/>
                <w:sz w:val="24"/>
                <w:szCs w:val="24"/>
              </w:rPr>
              <w:t>15 minute chunks</w:t>
            </w:r>
          </w:p>
          <w:p w:rsidRPr="00CF1A22" w:rsidR="005C24AE" w:rsidP="005C24AE" w:rsidRDefault="005C24AE" w14:paraId="5942575C" w14:textId="77777777">
            <w:pPr>
              <w:pStyle w:val="ListParagraph"/>
              <w:numPr>
                <w:ilvl w:val="0"/>
                <w:numId w:val="13"/>
              </w:numPr>
              <w:jc w:val="both"/>
              <w:rPr>
                <w:rFonts w:cstheme="minorHAnsi"/>
                <w:sz w:val="24"/>
                <w:szCs w:val="24"/>
              </w:rPr>
            </w:pPr>
            <w:r w:rsidRPr="00CF1A22">
              <w:rPr>
                <w:rFonts w:cstheme="minorHAnsi"/>
                <w:sz w:val="24"/>
                <w:szCs w:val="24"/>
              </w:rPr>
              <w:t>Review, teach and model</w:t>
            </w:r>
          </w:p>
          <w:p w:rsidRPr="00CF1A22" w:rsidR="005C24AE" w:rsidP="005C24AE" w:rsidRDefault="005C24AE" w14:paraId="611E5A5B" w14:textId="77777777">
            <w:pPr>
              <w:pStyle w:val="ListParagraph"/>
              <w:numPr>
                <w:ilvl w:val="0"/>
                <w:numId w:val="13"/>
              </w:numPr>
              <w:jc w:val="both"/>
              <w:rPr>
                <w:rFonts w:cstheme="minorHAnsi"/>
                <w:sz w:val="24"/>
                <w:szCs w:val="24"/>
              </w:rPr>
            </w:pPr>
            <w:r w:rsidRPr="00CF1A22">
              <w:rPr>
                <w:rFonts w:cstheme="minorHAnsi"/>
                <w:sz w:val="24"/>
                <w:szCs w:val="24"/>
              </w:rPr>
              <w:t>Independent written work</w:t>
            </w:r>
          </w:p>
          <w:p w:rsidRPr="00CF1A22" w:rsidR="005C24AE" w:rsidP="005C24AE" w:rsidRDefault="005C24AE" w14:paraId="647D5183" w14:textId="77777777">
            <w:pPr>
              <w:pStyle w:val="ListParagraph"/>
              <w:numPr>
                <w:ilvl w:val="0"/>
                <w:numId w:val="13"/>
              </w:numPr>
              <w:jc w:val="both"/>
              <w:rPr>
                <w:rFonts w:cstheme="minorHAnsi"/>
                <w:sz w:val="24"/>
                <w:szCs w:val="24"/>
              </w:rPr>
            </w:pPr>
            <w:r w:rsidRPr="00CF1A22">
              <w:rPr>
                <w:rFonts w:cstheme="minorHAnsi"/>
                <w:sz w:val="24"/>
                <w:szCs w:val="24"/>
              </w:rPr>
              <w:t>TT Rockstars / Maths games</w:t>
            </w:r>
          </w:p>
        </w:tc>
      </w:tr>
      <w:tr w:rsidRPr="00CF1A22" w:rsidR="005C24AE" w:rsidTr="001457A8" w14:paraId="429206C9" w14:textId="77777777">
        <w:tc>
          <w:tcPr>
            <w:tcW w:w="3485" w:type="dxa"/>
          </w:tcPr>
          <w:p w:rsidRPr="00CF1A22" w:rsidR="005C24AE" w:rsidP="001457A8" w:rsidRDefault="005C24AE" w14:paraId="266B46F3" w14:textId="77777777">
            <w:pPr>
              <w:jc w:val="both"/>
              <w:rPr>
                <w:rFonts w:cstheme="minorHAnsi"/>
                <w:sz w:val="24"/>
                <w:szCs w:val="24"/>
              </w:rPr>
            </w:pPr>
            <w:r w:rsidRPr="00CF1A22">
              <w:rPr>
                <w:rFonts w:cstheme="minorHAnsi"/>
                <w:sz w:val="24"/>
                <w:szCs w:val="24"/>
              </w:rPr>
              <w:t>1145-12</w:t>
            </w:r>
          </w:p>
        </w:tc>
        <w:tc>
          <w:tcPr>
            <w:tcW w:w="2747" w:type="dxa"/>
          </w:tcPr>
          <w:p w:rsidRPr="00CF1A22" w:rsidR="005C24AE" w:rsidP="001457A8" w:rsidRDefault="005C24AE" w14:paraId="7C8D93C4" w14:textId="77777777">
            <w:pPr>
              <w:jc w:val="both"/>
              <w:rPr>
                <w:rFonts w:cstheme="minorHAnsi"/>
                <w:sz w:val="24"/>
                <w:szCs w:val="24"/>
              </w:rPr>
            </w:pPr>
            <w:r w:rsidRPr="00CF1A22">
              <w:rPr>
                <w:rFonts w:cstheme="minorHAnsi"/>
                <w:sz w:val="24"/>
                <w:szCs w:val="24"/>
              </w:rPr>
              <w:t>Break</w:t>
            </w:r>
          </w:p>
        </w:tc>
        <w:tc>
          <w:tcPr>
            <w:tcW w:w="4224" w:type="dxa"/>
          </w:tcPr>
          <w:p w:rsidRPr="00CF1A22" w:rsidR="005C24AE" w:rsidP="001457A8" w:rsidRDefault="005C24AE" w14:paraId="5E6ACEF2" w14:textId="77777777">
            <w:pPr>
              <w:jc w:val="both"/>
              <w:rPr>
                <w:rFonts w:cstheme="minorHAnsi"/>
                <w:sz w:val="24"/>
                <w:szCs w:val="24"/>
              </w:rPr>
            </w:pPr>
            <w:r w:rsidRPr="00CF1A22">
              <w:rPr>
                <w:rFonts w:cstheme="minorHAnsi"/>
                <w:sz w:val="24"/>
                <w:szCs w:val="24"/>
              </w:rPr>
              <w:t>Outside, switch, ipad, laptop</w:t>
            </w:r>
          </w:p>
        </w:tc>
      </w:tr>
      <w:tr w:rsidRPr="00CF1A22" w:rsidR="005C24AE" w:rsidTr="001457A8" w14:paraId="23D02514" w14:textId="77777777">
        <w:tc>
          <w:tcPr>
            <w:tcW w:w="3485" w:type="dxa"/>
          </w:tcPr>
          <w:p w:rsidRPr="00CF1A22" w:rsidR="005C24AE" w:rsidP="001457A8" w:rsidRDefault="005C24AE" w14:paraId="771B23EF" w14:textId="77777777">
            <w:pPr>
              <w:jc w:val="both"/>
              <w:rPr>
                <w:rFonts w:cstheme="minorHAnsi"/>
                <w:sz w:val="24"/>
                <w:szCs w:val="24"/>
              </w:rPr>
            </w:pPr>
            <w:r w:rsidRPr="00CF1A22">
              <w:rPr>
                <w:rFonts w:cstheme="minorHAnsi"/>
                <w:sz w:val="24"/>
                <w:szCs w:val="24"/>
              </w:rPr>
              <w:t>12-1245</w:t>
            </w:r>
          </w:p>
        </w:tc>
        <w:tc>
          <w:tcPr>
            <w:tcW w:w="2747" w:type="dxa"/>
          </w:tcPr>
          <w:p w:rsidRPr="00CF1A22" w:rsidR="005C24AE" w:rsidP="001457A8" w:rsidRDefault="005C24AE" w14:paraId="673E7CA3" w14:textId="77777777">
            <w:pPr>
              <w:jc w:val="both"/>
              <w:rPr>
                <w:rFonts w:cstheme="minorHAnsi"/>
                <w:sz w:val="24"/>
                <w:szCs w:val="24"/>
              </w:rPr>
            </w:pPr>
            <w:r w:rsidRPr="00CF1A22">
              <w:rPr>
                <w:rFonts w:cstheme="minorHAnsi"/>
                <w:sz w:val="24"/>
                <w:szCs w:val="24"/>
              </w:rPr>
              <w:t xml:space="preserve">Subject A </w:t>
            </w:r>
          </w:p>
        </w:tc>
        <w:tc>
          <w:tcPr>
            <w:tcW w:w="4224" w:type="dxa"/>
          </w:tcPr>
          <w:p w:rsidRPr="00CF1A22" w:rsidR="005C24AE" w:rsidP="001457A8" w:rsidRDefault="005C24AE" w14:paraId="634059F2" w14:textId="77777777">
            <w:pPr>
              <w:spacing w:after="160" w:line="259" w:lineRule="auto"/>
              <w:jc w:val="both"/>
              <w:rPr>
                <w:rFonts w:cstheme="minorHAnsi"/>
                <w:sz w:val="24"/>
                <w:szCs w:val="24"/>
              </w:rPr>
            </w:pPr>
            <w:r w:rsidRPr="00CF1A22">
              <w:rPr>
                <w:rFonts w:cstheme="minorHAnsi"/>
                <w:sz w:val="24"/>
                <w:szCs w:val="24"/>
              </w:rPr>
              <w:t>Options – interest / skill dependent</w:t>
            </w:r>
          </w:p>
          <w:p w:rsidRPr="00CF1A22" w:rsidR="005C24AE" w:rsidP="001457A8" w:rsidRDefault="005C24AE" w14:paraId="36C785DC" w14:textId="77777777">
            <w:pPr>
              <w:spacing w:after="160" w:line="259" w:lineRule="auto"/>
              <w:jc w:val="both"/>
              <w:rPr>
                <w:rFonts w:cstheme="minorHAnsi"/>
                <w:sz w:val="24"/>
                <w:szCs w:val="24"/>
              </w:rPr>
            </w:pPr>
            <w:r w:rsidRPr="00CF1A22">
              <w:rPr>
                <w:rFonts w:cstheme="minorHAnsi"/>
                <w:sz w:val="24"/>
                <w:szCs w:val="24"/>
              </w:rPr>
              <w:t>Monday – KS3 1h of cooking</w:t>
            </w:r>
          </w:p>
          <w:p w:rsidRPr="00CF1A22" w:rsidR="005C24AE" w:rsidP="001457A8" w:rsidRDefault="005C24AE" w14:paraId="1F6726CF" w14:textId="77777777">
            <w:pPr>
              <w:spacing w:after="160" w:line="259" w:lineRule="auto"/>
              <w:jc w:val="both"/>
              <w:rPr>
                <w:rFonts w:cstheme="minorHAnsi"/>
                <w:sz w:val="24"/>
                <w:szCs w:val="24"/>
              </w:rPr>
            </w:pPr>
            <w:r w:rsidRPr="00CF1A22">
              <w:rPr>
                <w:rFonts w:cstheme="minorHAnsi"/>
                <w:sz w:val="24"/>
                <w:szCs w:val="24"/>
              </w:rPr>
              <w:t>Tues and Thurs – Science</w:t>
            </w:r>
          </w:p>
          <w:p w:rsidRPr="00CF1A22" w:rsidR="005C24AE" w:rsidP="001457A8" w:rsidRDefault="005C24AE" w14:paraId="53489D87" w14:textId="77777777">
            <w:pPr>
              <w:spacing w:after="160" w:line="259" w:lineRule="auto"/>
              <w:jc w:val="both"/>
              <w:rPr>
                <w:rFonts w:cstheme="minorHAnsi"/>
                <w:sz w:val="24"/>
                <w:szCs w:val="24"/>
              </w:rPr>
            </w:pPr>
            <w:r w:rsidRPr="00CF1A22">
              <w:rPr>
                <w:rFonts w:cstheme="minorHAnsi"/>
                <w:sz w:val="24"/>
                <w:szCs w:val="24"/>
              </w:rPr>
              <w:t>Weds – PE</w:t>
            </w:r>
          </w:p>
        </w:tc>
      </w:tr>
      <w:tr w:rsidRPr="00CF1A22" w:rsidR="005C24AE" w:rsidTr="001457A8" w14:paraId="72D37CA1" w14:textId="77777777">
        <w:tc>
          <w:tcPr>
            <w:tcW w:w="3485" w:type="dxa"/>
          </w:tcPr>
          <w:p w:rsidRPr="00CF1A22" w:rsidR="005C24AE" w:rsidP="001457A8" w:rsidRDefault="005C24AE" w14:paraId="032B2C5D" w14:textId="77777777">
            <w:pPr>
              <w:jc w:val="both"/>
              <w:rPr>
                <w:rFonts w:cstheme="minorHAnsi"/>
                <w:sz w:val="24"/>
                <w:szCs w:val="24"/>
              </w:rPr>
            </w:pPr>
            <w:r w:rsidRPr="00CF1A22">
              <w:rPr>
                <w:rFonts w:cstheme="minorHAnsi"/>
                <w:sz w:val="24"/>
                <w:szCs w:val="24"/>
              </w:rPr>
              <w:t>1245-1300</w:t>
            </w:r>
          </w:p>
        </w:tc>
        <w:tc>
          <w:tcPr>
            <w:tcW w:w="2747" w:type="dxa"/>
          </w:tcPr>
          <w:p w:rsidRPr="00CF1A22" w:rsidR="005C24AE" w:rsidP="001457A8" w:rsidRDefault="005C24AE" w14:paraId="2A5192D3" w14:textId="77777777">
            <w:pPr>
              <w:jc w:val="both"/>
              <w:rPr>
                <w:rFonts w:cstheme="minorHAnsi"/>
                <w:sz w:val="24"/>
                <w:szCs w:val="24"/>
              </w:rPr>
            </w:pPr>
            <w:r w:rsidRPr="00CF1A22">
              <w:rPr>
                <w:rFonts w:cstheme="minorHAnsi"/>
                <w:sz w:val="24"/>
                <w:szCs w:val="24"/>
              </w:rPr>
              <w:t>Make and eat lunch</w:t>
            </w:r>
          </w:p>
        </w:tc>
        <w:tc>
          <w:tcPr>
            <w:tcW w:w="4224" w:type="dxa"/>
          </w:tcPr>
          <w:p w:rsidRPr="00CF1A22" w:rsidR="005C24AE" w:rsidP="001457A8" w:rsidRDefault="005C24AE" w14:paraId="167A747C" w14:textId="77777777">
            <w:pPr>
              <w:jc w:val="both"/>
              <w:rPr>
                <w:rFonts w:cstheme="minorHAnsi"/>
                <w:sz w:val="24"/>
                <w:szCs w:val="24"/>
              </w:rPr>
            </w:pPr>
          </w:p>
        </w:tc>
      </w:tr>
      <w:tr w:rsidRPr="00CF1A22" w:rsidR="005C24AE" w:rsidTr="001457A8" w14:paraId="52B51C52" w14:textId="77777777">
        <w:tc>
          <w:tcPr>
            <w:tcW w:w="3485" w:type="dxa"/>
          </w:tcPr>
          <w:p w:rsidRPr="00CF1A22" w:rsidR="005C24AE" w:rsidP="001457A8" w:rsidRDefault="005C24AE" w14:paraId="3661268C" w14:textId="77777777">
            <w:pPr>
              <w:jc w:val="both"/>
              <w:rPr>
                <w:rFonts w:cstheme="minorHAnsi"/>
                <w:sz w:val="24"/>
                <w:szCs w:val="24"/>
              </w:rPr>
            </w:pPr>
            <w:r w:rsidRPr="00CF1A22">
              <w:rPr>
                <w:rFonts w:cstheme="minorHAnsi"/>
                <w:sz w:val="24"/>
                <w:szCs w:val="24"/>
              </w:rPr>
              <w:t>1300-1345</w:t>
            </w:r>
          </w:p>
        </w:tc>
        <w:tc>
          <w:tcPr>
            <w:tcW w:w="2747" w:type="dxa"/>
          </w:tcPr>
          <w:p w:rsidRPr="00CF1A22" w:rsidR="005C24AE" w:rsidP="001457A8" w:rsidRDefault="005C24AE" w14:paraId="48109EA7" w14:textId="77777777">
            <w:pPr>
              <w:jc w:val="both"/>
              <w:rPr>
                <w:rFonts w:cstheme="minorHAnsi"/>
                <w:sz w:val="24"/>
                <w:szCs w:val="24"/>
              </w:rPr>
            </w:pPr>
            <w:r w:rsidRPr="00CF1A22">
              <w:rPr>
                <w:rFonts w:cstheme="minorHAnsi"/>
                <w:sz w:val="24"/>
                <w:szCs w:val="24"/>
              </w:rPr>
              <w:t>Offsite visit planning / reflection</w:t>
            </w:r>
          </w:p>
        </w:tc>
        <w:tc>
          <w:tcPr>
            <w:tcW w:w="4224" w:type="dxa"/>
          </w:tcPr>
          <w:p w:rsidRPr="00CF1A22" w:rsidR="005C24AE" w:rsidP="001457A8" w:rsidRDefault="005C24AE" w14:paraId="40A345AF" w14:textId="77777777">
            <w:pPr>
              <w:jc w:val="both"/>
              <w:rPr>
                <w:rFonts w:cstheme="minorHAnsi"/>
                <w:sz w:val="24"/>
                <w:szCs w:val="24"/>
              </w:rPr>
            </w:pPr>
            <w:r w:rsidRPr="00CF1A22">
              <w:rPr>
                <w:rFonts w:cstheme="minorHAnsi"/>
                <w:sz w:val="24"/>
                <w:szCs w:val="24"/>
              </w:rPr>
              <w:t>Enrichment to include develop social skills and cultural capital</w:t>
            </w:r>
          </w:p>
        </w:tc>
      </w:tr>
      <w:tr w:rsidRPr="00CF1A22" w:rsidR="005C24AE" w:rsidTr="001457A8" w14:paraId="6E42D362" w14:textId="77777777">
        <w:tc>
          <w:tcPr>
            <w:tcW w:w="3485" w:type="dxa"/>
          </w:tcPr>
          <w:p w:rsidRPr="00CF1A22" w:rsidR="005C24AE" w:rsidP="001457A8" w:rsidRDefault="005C24AE" w14:paraId="090C5627" w14:textId="77777777">
            <w:pPr>
              <w:jc w:val="both"/>
              <w:rPr>
                <w:rFonts w:cstheme="minorHAnsi"/>
                <w:sz w:val="24"/>
                <w:szCs w:val="24"/>
              </w:rPr>
            </w:pPr>
            <w:r w:rsidRPr="00CF1A22">
              <w:rPr>
                <w:rFonts w:cstheme="minorHAnsi"/>
                <w:sz w:val="24"/>
                <w:szCs w:val="24"/>
              </w:rPr>
              <w:t>1345-1400</w:t>
            </w:r>
          </w:p>
        </w:tc>
        <w:tc>
          <w:tcPr>
            <w:tcW w:w="2747" w:type="dxa"/>
          </w:tcPr>
          <w:p w:rsidRPr="00CF1A22" w:rsidR="005C24AE" w:rsidP="001457A8" w:rsidRDefault="005C24AE" w14:paraId="3951B9E9" w14:textId="77777777">
            <w:pPr>
              <w:jc w:val="both"/>
              <w:rPr>
                <w:rFonts w:cstheme="minorHAnsi"/>
                <w:sz w:val="24"/>
                <w:szCs w:val="24"/>
              </w:rPr>
            </w:pPr>
            <w:r w:rsidRPr="00CF1A22">
              <w:rPr>
                <w:rFonts w:cstheme="minorHAnsi"/>
                <w:sz w:val="24"/>
                <w:szCs w:val="24"/>
              </w:rPr>
              <w:t>TRAVEL</w:t>
            </w:r>
          </w:p>
        </w:tc>
        <w:tc>
          <w:tcPr>
            <w:tcW w:w="4224" w:type="dxa"/>
          </w:tcPr>
          <w:p w:rsidRPr="00CF1A22" w:rsidR="005C24AE" w:rsidP="001457A8" w:rsidRDefault="005C24AE" w14:paraId="0F55EBC6" w14:textId="77777777">
            <w:pPr>
              <w:jc w:val="both"/>
              <w:rPr>
                <w:rFonts w:cstheme="minorHAnsi"/>
                <w:sz w:val="24"/>
                <w:szCs w:val="24"/>
              </w:rPr>
            </w:pPr>
          </w:p>
        </w:tc>
      </w:tr>
    </w:tbl>
    <w:p w:rsidRPr="00CF1A22" w:rsidR="005C24AE" w:rsidP="005C24AE" w:rsidRDefault="005C24AE" w14:paraId="14B4493F" w14:textId="77777777">
      <w:pPr>
        <w:jc w:val="both"/>
        <w:rPr>
          <w:rFonts w:asciiTheme="minorHAnsi" w:hAnsiTheme="minorHAnsi" w:cstheme="minorHAnsi"/>
          <w:sz w:val="24"/>
          <w:szCs w:val="24"/>
        </w:rPr>
      </w:pPr>
    </w:p>
    <w:p w:rsidRPr="00CF1A22" w:rsidR="005C24AE" w:rsidP="005C24AE" w:rsidRDefault="005C24AE" w14:paraId="636AA610" w14:textId="77777777">
      <w:pPr>
        <w:jc w:val="both"/>
        <w:rPr>
          <w:rFonts w:asciiTheme="minorHAnsi" w:hAnsiTheme="minorHAnsi" w:cstheme="minorHAnsi"/>
          <w:b/>
          <w:bCs/>
          <w:sz w:val="24"/>
          <w:szCs w:val="24"/>
          <w:u w:val="single"/>
        </w:rPr>
      </w:pPr>
      <w:r w:rsidRPr="00CF1A22">
        <w:rPr>
          <w:rFonts w:asciiTheme="minorHAnsi" w:hAnsiTheme="minorHAnsi" w:cstheme="minorHAnsi"/>
          <w:b/>
          <w:bCs/>
          <w:sz w:val="24"/>
          <w:szCs w:val="24"/>
          <w:u w:val="single"/>
        </w:rPr>
        <w:t>Sample Enrichment programme</w:t>
      </w:r>
      <w:r>
        <w:rPr>
          <w:rFonts w:cstheme="minorHAnsi"/>
          <w:b/>
          <w:bCs/>
          <w:sz w:val="24"/>
          <w:szCs w:val="24"/>
          <w:u w:val="single"/>
        </w:rPr>
        <w:t xml:space="preserve"> (Fridays) </w:t>
      </w:r>
    </w:p>
    <w:tbl>
      <w:tblPr>
        <w:tblStyle w:val="TableGrid0"/>
        <w:tblW w:w="0" w:type="auto"/>
        <w:tblLook w:val="04A0" w:firstRow="1" w:lastRow="0" w:firstColumn="1" w:lastColumn="0" w:noHBand="0" w:noVBand="1"/>
      </w:tblPr>
      <w:tblGrid>
        <w:gridCol w:w="1413"/>
        <w:gridCol w:w="4678"/>
        <w:gridCol w:w="4365"/>
      </w:tblGrid>
      <w:tr w:rsidRPr="00CF1A22" w:rsidR="005C24AE" w:rsidTr="001457A8" w14:paraId="2307FA64" w14:textId="77777777">
        <w:tc>
          <w:tcPr>
            <w:tcW w:w="1413" w:type="dxa"/>
          </w:tcPr>
          <w:p w:rsidRPr="00CF1A22" w:rsidR="005C24AE" w:rsidP="001457A8" w:rsidRDefault="005C24AE" w14:paraId="0D71AC27" w14:textId="77777777">
            <w:pPr>
              <w:jc w:val="center"/>
              <w:rPr>
                <w:rFonts w:cstheme="minorHAnsi"/>
                <w:b/>
                <w:bCs/>
                <w:sz w:val="24"/>
                <w:szCs w:val="24"/>
              </w:rPr>
            </w:pPr>
            <w:r w:rsidRPr="00CF1A22">
              <w:rPr>
                <w:rFonts w:cstheme="minorHAnsi"/>
                <w:b/>
                <w:bCs/>
                <w:sz w:val="24"/>
                <w:szCs w:val="24"/>
              </w:rPr>
              <w:t>Week</w:t>
            </w:r>
          </w:p>
        </w:tc>
        <w:tc>
          <w:tcPr>
            <w:tcW w:w="4678" w:type="dxa"/>
          </w:tcPr>
          <w:p w:rsidRPr="00CF1A22" w:rsidR="005C24AE" w:rsidP="001457A8" w:rsidRDefault="005C24AE" w14:paraId="5CE5FCB4" w14:textId="77777777">
            <w:pPr>
              <w:jc w:val="center"/>
              <w:rPr>
                <w:rFonts w:cstheme="minorHAnsi"/>
                <w:b/>
                <w:bCs/>
                <w:sz w:val="24"/>
                <w:szCs w:val="24"/>
              </w:rPr>
            </w:pPr>
            <w:r w:rsidRPr="00CF1A22">
              <w:rPr>
                <w:rFonts w:cstheme="minorHAnsi"/>
                <w:b/>
                <w:bCs/>
                <w:sz w:val="24"/>
                <w:szCs w:val="24"/>
              </w:rPr>
              <w:t>Location</w:t>
            </w:r>
          </w:p>
        </w:tc>
        <w:tc>
          <w:tcPr>
            <w:tcW w:w="4365" w:type="dxa"/>
          </w:tcPr>
          <w:p w:rsidRPr="00CF1A22" w:rsidR="005C24AE" w:rsidP="001457A8" w:rsidRDefault="005C24AE" w14:paraId="7E1C697E" w14:textId="77777777">
            <w:pPr>
              <w:jc w:val="center"/>
              <w:rPr>
                <w:rFonts w:cstheme="minorHAnsi"/>
                <w:b/>
                <w:bCs/>
                <w:sz w:val="24"/>
                <w:szCs w:val="24"/>
              </w:rPr>
            </w:pPr>
            <w:r w:rsidRPr="00CF1A22">
              <w:rPr>
                <w:rFonts w:cstheme="minorHAnsi"/>
                <w:b/>
                <w:bCs/>
                <w:sz w:val="24"/>
                <w:szCs w:val="24"/>
              </w:rPr>
              <w:t>Objective</w:t>
            </w:r>
          </w:p>
        </w:tc>
      </w:tr>
      <w:tr w:rsidRPr="00CF1A22" w:rsidR="005C24AE" w:rsidTr="001457A8" w14:paraId="6C5DD168" w14:textId="77777777">
        <w:tc>
          <w:tcPr>
            <w:tcW w:w="1413" w:type="dxa"/>
          </w:tcPr>
          <w:p w:rsidRPr="00CF1A22" w:rsidR="005C24AE" w:rsidP="001457A8" w:rsidRDefault="005C24AE" w14:paraId="041D8C4C" w14:textId="77777777">
            <w:pPr>
              <w:jc w:val="both"/>
              <w:rPr>
                <w:rFonts w:cstheme="minorHAnsi"/>
                <w:sz w:val="24"/>
                <w:szCs w:val="24"/>
              </w:rPr>
            </w:pPr>
            <w:r w:rsidRPr="00CF1A22">
              <w:rPr>
                <w:rFonts w:cstheme="minorHAnsi"/>
                <w:sz w:val="24"/>
                <w:szCs w:val="24"/>
              </w:rPr>
              <w:t>1</w:t>
            </w:r>
          </w:p>
        </w:tc>
        <w:tc>
          <w:tcPr>
            <w:tcW w:w="4678" w:type="dxa"/>
          </w:tcPr>
          <w:p w:rsidRPr="00CF1A22" w:rsidR="005C24AE" w:rsidP="001457A8" w:rsidRDefault="005C24AE" w14:paraId="7C9BFB66" w14:textId="77777777">
            <w:pPr>
              <w:jc w:val="both"/>
              <w:rPr>
                <w:rFonts w:cstheme="minorHAnsi"/>
                <w:sz w:val="24"/>
                <w:szCs w:val="24"/>
              </w:rPr>
            </w:pPr>
            <w:r w:rsidRPr="00CF1A22">
              <w:rPr>
                <w:rFonts w:cstheme="minorHAnsi"/>
                <w:sz w:val="24"/>
                <w:szCs w:val="24"/>
              </w:rPr>
              <w:t>Roman Baths and House of Frankenstein</w:t>
            </w:r>
          </w:p>
        </w:tc>
        <w:tc>
          <w:tcPr>
            <w:tcW w:w="4365" w:type="dxa"/>
          </w:tcPr>
          <w:p w:rsidRPr="00CF1A22" w:rsidR="005C24AE" w:rsidP="005C24AE" w:rsidRDefault="005C24AE" w14:paraId="07087650" w14:textId="77777777">
            <w:pPr>
              <w:pStyle w:val="ListParagraph"/>
              <w:numPr>
                <w:ilvl w:val="0"/>
                <w:numId w:val="15"/>
              </w:numPr>
              <w:jc w:val="both"/>
              <w:rPr>
                <w:rFonts w:cstheme="minorHAnsi"/>
                <w:sz w:val="24"/>
                <w:szCs w:val="24"/>
              </w:rPr>
            </w:pPr>
            <w:r w:rsidRPr="00CF1A22">
              <w:rPr>
                <w:rFonts w:cstheme="minorHAnsi"/>
                <w:sz w:val="24"/>
                <w:szCs w:val="24"/>
              </w:rPr>
              <w:t xml:space="preserve">To </w:t>
            </w:r>
            <w:r>
              <w:rPr>
                <w:rFonts w:cstheme="minorHAnsi"/>
                <w:sz w:val="24"/>
                <w:szCs w:val="24"/>
              </w:rPr>
              <w:t>understand the history of Bath and the Romans</w:t>
            </w:r>
          </w:p>
          <w:p w:rsidR="005C24AE" w:rsidP="005C24AE" w:rsidRDefault="005C24AE" w14:paraId="51AC6706" w14:textId="77777777">
            <w:pPr>
              <w:pStyle w:val="ListParagraph"/>
              <w:numPr>
                <w:ilvl w:val="0"/>
                <w:numId w:val="15"/>
              </w:numPr>
              <w:jc w:val="both"/>
              <w:rPr>
                <w:rFonts w:cstheme="minorHAnsi"/>
                <w:sz w:val="24"/>
                <w:szCs w:val="24"/>
              </w:rPr>
            </w:pPr>
            <w:r w:rsidRPr="00CF1A22">
              <w:rPr>
                <w:rFonts w:cstheme="minorHAnsi"/>
                <w:sz w:val="24"/>
                <w:szCs w:val="24"/>
              </w:rPr>
              <w:t>To learn about Mary Shelley and how she came to write Frankenstein</w:t>
            </w:r>
          </w:p>
          <w:p w:rsidRPr="00CF1A22" w:rsidR="000D6584" w:rsidP="005C24AE" w:rsidRDefault="000D6584" w14:paraId="6AAF9115" w14:textId="693A3F26">
            <w:pPr>
              <w:pStyle w:val="ListParagraph"/>
              <w:numPr>
                <w:ilvl w:val="0"/>
                <w:numId w:val="15"/>
              </w:numPr>
              <w:jc w:val="both"/>
              <w:rPr>
                <w:rFonts w:cstheme="minorHAnsi"/>
                <w:sz w:val="24"/>
                <w:szCs w:val="24"/>
              </w:rPr>
            </w:pPr>
            <w:r>
              <w:rPr>
                <w:rFonts w:cstheme="minorHAnsi"/>
                <w:sz w:val="24"/>
                <w:szCs w:val="24"/>
              </w:rPr>
              <w:t xml:space="preserve">To </w:t>
            </w:r>
            <w:r w:rsidR="00F55544">
              <w:rPr>
                <w:rFonts w:cstheme="minorHAnsi"/>
                <w:sz w:val="24"/>
                <w:szCs w:val="24"/>
              </w:rPr>
              <w:t>help students’ develop RESPECT</w:t>
            </w:r>
            <w:r w:rsidR="00045136">
              <w:rPr>
                <w:rFonts w:cstheme="minorHAnsi"/>
                <w:sz w:val="24"/>
                <w:szCs w:val="24"/>
              </w:rPr>
              <w:t xml:space="preserve"> </w:t>
            </w:r>
          </w:p>
        </w:tc>
      </w:tr>
      <w:tr w:rsidRPr="00CF1A22" w:rsidR="005C24AE" w:rsidTr="001457A8" w14:paraId="760741A6" w14:textId="77777777">
        <w:tc>
          <w:tcPr>
            <w:tcW w:w="1413" w:type="dxa"/>
          </w:tcPr>
          <w:p w:rsidRPr="00CF1A22" w:rsidR="005C24AE" w:rsidP="001457A8" w:rsidRDefault="005C24AE" w14:paraId="66376982" w14:textId="77777777">
            <w:pPr>
              <w:jc w:val="both"/>
              <w:rPr>
                <w:rFonts w:cstheme="minorHAnsi"/>
                <w:sz w:val="24"/>
                <w:szCs w:val="24"/>
              </w:rPr>
            </w:pPr>
            <w:r w:rsidRPr="00CF1A22">
              <w:rPr>
                <w:rFonts w:cstheme="minorHAnsi"/>
                <w:sz w:val="24"/>
                <w:szCs w:val="24"/>
              </w:rPr>
              <w:t>2</w:t>
            </w:r>
          </w:p>
        </w:tc>
        <w:tc>
          <w:tcPr>
            <w:tcW w:w="4678" w:type="dxa"/>
          </w:tcPr>
          <w:p w:rsidRPr="00CF1A22" w:rsidR="005C24AE" w:rsidP="001457A8" w:rsidRDefault="005C24AE" w14:paraId="76D77B43" w14:textId="77777777">
            <w:pPr>
              <w:jc w:val="both"/>
              <w:rPr>
                <w:rFonts w:cstheme="minorHAnsi"/>
                <w:sz w:val="24"/>
                <w:szCs w:val="24"/>
              </w:rPr>
            </w:pPr>
            <w:r w:rsidRPr="00CF1A22">
              <w:rPr>
                <w:rFonts w:cstheme="minorHAnsi"/>
                <w:sz w:val="24"/>
                <w:szCs w:val="24"/>
              </w:rPr>
              <w:t>Bouldering</w:t>
            </w:r>
          </w:p>
        </w:tc>
        <w:tc>
          <w:tcPr>
            <w:tcW w:w="4365" w:type="dxa"/>
          </w:tcPr>
          <w:p w:rsidRPr="00CF1A22" w:rsidR="005C24AE" w:rsidP="005C24AE" w:rsidRDefault="005C24AE" w14:paraId="43A0ADC7" w14:textId="77777777">
            <w:pPr>
              <w:pStyle w:val="ListParagraph"/>
              <w:numPr>
                <w:ilvl w:val="0"/>
                <w:numId w:val="15"/>
              </w:numPr>
              <w:rPr>
                <w:rFonts w:eastAsia="Times New Roman" w:cstheme="minorHAnsi"/>
                <w:color w:val="000000"/>
                <w:kern w:val="0"/>
                <w:sz w:val="24"/>
                <w:szCs w:val="24"/>
                <w:lang w:eastAsia="en-GB"/>
                <w14:ligatures w14:val="none"/>
              </w:rPr>
            </w:pPr>
            <w:r w:rsidRPr="00CF1A22">
              <w:rPr>
                <w:rFonts w:eastAsia="Times New Roman" w:cstheme="minorHAnsi"/>
                <w:color w:val="000000"/>
                <w:kern w:val="0"/>
                <w:sz w:val="24"/>
                <w:szCs w:val="24"/>
                <w:lang w:eastAsia="en-GB"/>
                <w14:ligatures w14:val="none"/>
              </w:rPr>
              <w:t>To understand safety techniques - mat placement and spotting </w:t>
            </w:r>
          </w:p>
          <w:p w:rsidRPr="00CF1A22" w:rsidR="005C24AE" w:rsidP="005C24AE" w:rsidRDefault="005C24AE" w14:paraId="06378FA0" w14:textId="77777777">
            <w:pPr>
              <w:pStyle w:val="ListParagraph"/>
              <w:numPr>
                <w:ilvl w:val="0"/>
                <w:numId w:val="15"/>
              </w:numPr>
              <w:rPr>
                <w:rFonts w:eastAsia="Times New Roman" w:cstheme="minorHAnsi"/>
                <w:color w:val="000000"/>
                <w:kern w:val="0"/>
                <w:sz w:val="24"/>
                <w:szCs w:val="24"/>
                <w:lang w:eastAsia="en-GB"/>
                <w14:ligatures w14:val="none"/>
              </w:rPr>
            </w:pPr>
            <w:r w:rsidRPr="00CF1A22">
              <w:rPr>
                <w:rFonts w:eastAsia="Times New Roman" w:cstheme="minorHAnsi"/>
                <w:color w:val="000000"/>
                <w:kern w:val="0"/>
                <w:sz w:val="24"/>
                <w:szCs w:val="24"/>
                <w:lang w:eastAsia="en-GB"/>
                <w14:ligatures w14:val="none"/>
              </w:rPr>
              <w:t>To learn bouldering techniques - moving effectively and efficiently </w:t>
            </w:r>
          </w:p>
          <w:p w:rsidR="005C24AE" w:rsidP="000D6584" w:rsidRDefault="005C24AE" w14:paraId="540AA7D3" w14:textId="77777777">
            <w:pPr>
              <w:pStyle w:val="ListParagraph"/>
              <w:numPr>
                <w:ilvl w:val="0"/>
                <w:numId w:val="15"/>
              </w:numPr>
              <w:rPr>
                <w:rFonts w:eastAsia="Times New Roman" w:cstheme="minorHAnsi"/>
                <w:color w:val="000000"/>
                <w:kern w:val="0"/>
                <w:sz w:val="24"/>
                <w:szCs w:val="24"/>
                <w:lang w:eastAsia="en-GB"/>
                <w14:ligatures w14:val="none"/>
              </w:rPr>
            </w:pPr>
            <w:r w:rsidRPr="00CF1A22">
              <w:rPr>
                <w:rFonts w:eastAsia="Times New Roman" w:cstheme="minorHAnsi"/>
                <w:color w:val="000000"/>
                <w:kern w:val="0"/>
                <w:sz w:val="24"/>
                <w:szCs w:val="24"/>
                <w:lang w:eastAsia="en-GB"/>
                <w14:ligatures w14:val="none"/>
              </w:rPr>
              <w:t>To understanding the ethics and etiquette of bouldering</w:t>
            </w:r>
          </w:p>
          <w:p w:rsidRPr="000D6584" w:rsidR="00F55544" w:rsidP="000D6584" w:rsidRDefault="00F55544" w14:paraId="01961744" w14:textId="7A9590CF">
            <w:pPr>
              <w:pStyle w:val="ListParagraph"/>
              <w:numPr>
                <w:ilvl w:val="0"/>
                <w:numId w:val="15"/>
              </w:numPr>
              <w:rPr>
                <w:rFonts w:eastAsia="Times New Roman" w:cstheme="minorHAnsi"/>
                <w:color w:val="000000"/>
                <w:kern w:val="0"/>
                <w:sz w:val="24"/>
                <w:szCs w:val="24"/>
                <w:lang w:eastAsia="en-GB"/>
                <w14:ligatures w14:val="none"/>
              </w:rPr>
            </w:pPr>
            <w:r>
              <w:rPr>
                <w:rFonts w:eastAsia="Times New Roman" w:cstheme="minorHAnsi"/>
                <w:color w:val="000000"/>
                <w:kern w:val="0"/>
                <w:sz w:val="24"/>
                <w:szCs w:val="24"/>
                <w:lang w:eastAsia="en-GB"/>
                <w14:ligatures w14:val="none"/>
              </w:rPr>
              <w:t>To help students develop RESILIENCE</w:t>
            </w:r>
            <w:r w:rsidR="00045136">
              <w:rPr>
                <w:rFonts w:eastAsia="Times New Roman" w:cstheme="minorHAnsi"/>
                <w:color w:val="000000"/>
                <w:kern w:val="0"/>
                <w:sz w:val="24"/>
                <w:szCs w:val="24"/>
                <w:lang w:eastAsia="en-GB"/>
                <w14:ligatures w14:val="none"/>
              </w:rPr>
              <w:t xml:space="preserve"> </w:t>
            </w:r>
          </w:p>
        </w:tc>
      </w:tr>
      <w:tr w:rsidRPr="00CF1A22" w:rsidR="005C24AE" w:rsidTr="001457A8" w14:paraId="52C8457B" w14:textId="77777777">
        <w:tc>
          <w:tcPr>
            <w:tcW w:w="1413" w:type="dxa"/>
          </w:tcPr>
          <w:p w:rsidRPr="00CF1A22" w:rsidR="005C24AE" w:rsidP="001457A8" w:rsidRDefault="005C24AE" w14:paraId="0F6E751F" w14:textId="77777777">
            <w:pPr>
              <w:jc w:val="both"/>
              <w:rPr>
                <w:rFonts w:cstheme="minorHAnsi"/>
                <w:sz w:val="24"/>
                <w:szCs w:val="24"/>
              </w:rPr>
            </w:pPr>
            <w:r w:rsidRPr="00CF1A22">
              <w:rPr>
                <w:rFonts w:cstheme="minorHAnsi"/>
                <w:sz w:val="24"/>
                <w:szCs w:val="24"/>
              </w:rPr>
              <w:t>3</w:t>
            </w:r>
          </w:p>
        </w:tc>
        <w:tc>
          <w:tcPr>
            <w:tcW w:w="4678" w:type="dxa"/>
          </w:tcPr>
          <w:p w:rsidRPr="00CF1A22" w:rsidR="005C24AE" w:rsidP="001457A8" w:rsidRDefault="005C24AE" w14:paraId="1B8FD000" w14:textId="77777777">
            <w:pPr>
              <w:jc w:val="both"/>
              <w:rPr>
                <w:rFonts w:cstheme="minorHAnsi"/>
                <w:sz w:val="24"/>
                <w:szCs w:val="24"/>
              </w:rPr>
            </w:pPr>
            <w:r w:rsidRPr="00CF1A22">
              <w:rPr>
                <w:rFonts w:cstheme="minorHAnsi"/>
                <w:sz w:val="24"/>
                <w:szCs w:val="24"/>
              </w:rPr>
              <w:t>M Shed and SS Great Britain</w:t>
            </w:r>
          </w:p>
        </w:tc>
        <w:tc>
          <w:tcPr>
            <w:tcW w:w="4365" w:type="dxa"/>
          </w:tcPr>
          <w:p w:rsidR="005C24AE" w:rsidP="005C24AE" w:rsidRDefault="005C24AE" w14:paraId="477CE907" w14:textId="77777777">
            <w:pPr>
              <w:pStyle w:val="ListParagraph"/>
              <w:numPr>
                <w:ilvl w:val="0"/>
                <w:numId w:val="15"/>
              </w:numPr>
              <w:jc w:val="both"/>
              <w:rPr>
                <w:rFonts w:cstheme="minorHAnsi"/>
                <w:sz w:val="24"/>
                <w:szCs w:val="24"/>
              </w:rPr>
            </w:pPr>
            <w:r>
              <w:rPr>
                <w:rFonts w:cstheme="minorHAnsi"/>
                <w:sz w:val="24"/>
                <w:szCs w:val="24"/>
              </w:rPr>
              <w:t>To understand some of the key historical events in Bristol’s history</w:t>
            </w:r>
          </w:p>
          <w:p w:rsidRPr="00212168" w:rsidR="00045136" w:rsidP="005C24AE" w:rsidRDefault="00045136" w14:paraId="772B4A24" w14:textId="5E4ED4D0">
            <w:pPr>
              <w:pStyle w:val="ListParagraph"/>
              <w:numPr>
                <w:ilvl w:val="0"/>
                <w:numId w:val="15"/>
              </w:numPr>
              <w:jc w:val="both"/>
              <w:rPr>
                <w:rFonts w:cstheme="minorHAnsi"/>
                <w:sz w:val="24"/>
                <w:szCs w:val="24"/>
              </w:rPr>
            </w:pPr>
            <w:r>
              <w:rPr>
                <w:rFonts w:eastAsia="Times New Roman" w:cstheme="minorHAnsi"/>
                <w:color w:val="000000"/>
                <w:kern w:val="0"/>
                <w:sz w:val="24"/>
                <w:szCs w:val="24"/>
                <w:lang w:eastAsia="en-GB"/>
                <w14:ligatures w14:val="none"/>
              </w:rPr>
              <w:t xml:space="preserve">To help students develop </w:t>
            </w:r>
            <w:r>
              <w:rPr>
                <w:rFonts w:eastAsia="Times New Roman" w:cstheme="minorHAnsi"/>
                <w:color w:val="000000"/>
                <w:kern w:val="0"/>
                <w:sz w:val="24"/>
                <w:szCs w:val="24"/>
                <w:lang w:eastAsia="en-GB"/>
                <w14:ligatures w14:val="none"/>
              </w:rPr>
              <w:t>REFLECTION</w:t>
            </w:r>
          </w:p>
        </w:tc>
      </w:tr>
      <w:tr w:rsidRPr="00CF1A22" w:rsidR="005C24AE" w:rsidTr="001457A8" w14:paraId="106F275F" w14:textId="77777777">
        <w:tc>
          <w:tcPr>
            <w:tcW w:w="1413" w:type="dxa"/>
          </w:tcPr>
          <w:p w:rsidRPr="00CF1A22" w:rsidR="005C24AE" w:rsidP="001457A8" w:rsidRDefault="005C24AE" w14:paraId="681E6A01" w14:textId="77777777">
            <w:pPr>
              <w:jc w:val="both"/>
              <w:rPr>
                <w:rFonts w:cstheme="minorHAnsi"/>
                <w:sz w:val="24"/>
                <w:szCs w:val="24"/>
              </w:rPr>
            </w:pPr>
            <w:r w:rsidRPr="00CF1A22">
              <w:rPr>
                <w:rFonts w:cstheme="minorHAnsi"/>
                <w:sz w:val="24"/>
                <w:szCs w:val="24"/>
              </w:rPr>
              <w:t>4</w:t>
            </w:r>
          </w:p>
        </w:tc>
        <w:tc>
          <w:tcPr>
            <w:tcW w:w="4678" w:type="dxa"/>
          </w:tcPr>
          <w:p w:rsidRPr="00CF1A22" w:rsidR="005C24AE" w:rsidP="001457A8" w:rsidRDefault="005C24AE" w14:paraId="71D59EE6" w14:textId="77777777">
            <w:pPr>
              <w:jc w:val="both"/>
              <w:rPr>
                <w:rFonts w:cstheme="minorHAnsi"/>
                <w:sz w:val="24"/>
                <w:szCs w:val="24"/>
              </w:rPr>
            </w:pPr>
            <w:r w:rsidRPr="00CF1A22">
              <w:rPr>
                <w:rFonts w:cstheme="minorHAnsi"/>
                <w:sz w:val="24"/>
                <w:szCs w:val="24"/>
              </w:rPr>
              <w:t>Clip n Climb</w:t>
            </w:r>
          </w:p>
        </w:tc>
        <w:tc>
          <w:tcPr>
            <w:tcW w:w="4365" w:type="dxa"/>
          </w:tcPr>
          <w:p w:rsidR="005C24AE" w:rsidP="005C24AE" w:rsidRDefault="005C24AE" w14:paraId="2B3DC508" w14:textId="77777777">
            <w:pPr>
              <w:pStyle w:val="ListParagraph"/>
              <w:numPr>
                <w:ilvl w:val="0"/>
                <w:numId w:val="15"/>
              </w:numPr>
              <w:jc w:val="both"/>
              <w:rPr>
                <w:rFonts w:cstheme="minorHAnsi"/>
                <w:sz w:val="24"/>
                <w:szCs w:val="24"/>
              </w:rPr>
            </w:pPr>
            <w:r>
              <w:rPr>
                <w:rFonts w:cstheme="minorHAnsi"/>
                <w:sz w:val="24"/>
                <w:szCs w:val="24"/>
              </w:rPr>
              <w:t>To learn a variety of knots</w:t>
            </w:r>
          </w:p>
          <w:p w:rsidR="005C24AE" w:rsidP="005C24AE" w:rsidRDefault="005C24AE" w14:paraId="7BBC97E6" w14:textId="77777777">
            <w:pPr>
              <w:pStyle w:val="ListParagraph"/>
              <w:numPr>
                <w:ilvl w:val="0"/>
                <w:numId w:val="15"/>
              </w:numPr>
              <w:jc w:val="both"/>
              <w:rPr>
                <w:rFonts w:cstheme="minorHAnsi"/>
                <w:sz w:val="24"/>
                <w:szCs w:val="24"/>
              </w:rPr>
            </w:pPr>
            <w:r>
              <w:rPr>
                <w:rFonts w:cstheme="minorHAnsi"/>
                <w:sz w:val="24"/>
                <w:szCs w:val="24"/>
              </w:rPr>
              <w:t>To learn different techniques for climbing</w:t>
            </w:r>
          </w:p>
          <w:p w:rsidR="005C24AE" w:rsidP="005C24AE" w:rsidRDefault="005C24AE" w14:paraId="6CA54D12" w14:textId="77777777">
            <w:pPr>
              <w:pStyle w:val="ListParagraph"/>
              <w:numPr>
                <w:ilvl w:val="0"/>
                <w:numId w:val="15"/>
              </w:numPr>
              <w:jc w:val="both"/>
              <w:rPr>
                <w:rFonts w:cstheme="minorHAnsi"/>
                <w:sz w:val="24"/>
                <w:szCs w:val="24"/>
              </w:rPr>
            </w:pPr>
            <w:r>
              <w:rPr>
                <w:rFonts w:cstheme="minorHAnsi"/>
                <w:sz w:val="24"/>
                <w:szCs w:val="24"/>
              </w:rPr>
              <w:t>To increase student resilience and confidence</w:t>
            </w:r>
          </w:p>
          <w:p w:rsidRPr="00BA1FE6" w:rsidR="00045136" w:rsidP="005C24AE" w:rsidRDefault="00045136" w14:paraId="0D1C4426" w14:textId="2DABEA62">
            <w:pPr>
              <w:pStyle w:val="ListParagraph"/>
              <w:numPr>
                <w:ilvl w:val="0"/>
                <w:numId w:val="15"/>
              </w:numPr>
              <w:jc w:val="both"/>
              <w:rPr>
                <w:rFonts w:cstheme="minorHAnsi"/>
                <w:sz w:val="24"/>
                <w:szCs w:val="24"/>
              </w:rPr>
            </w:pPr>
            <w:r>
              <w:rPr>
                <w:rFonts w:eastAsia="Times New Roman" w:cstheme="minorHAnsi"/>
                <w:color w:val="000000"/>
                <w:kern w:val="0"/>
                <w:sz w:val="24"/>
                <w:szCs w:val="24"/>
                <w:lang w:eastAsia="en-GB"/>
                <w14:ligatures w14:val="none"/>
              </w:rPr>
              <w:t xml:space="preserve">To help students develop </w:t>
            </w:r>
            <w:r>
              <w:rPr>
                <w:rFonts w:eastAsia="Times New Roman" w:cstheme="minorHAnsi"/>
                <w:color w:val="000000"/>
                <w:kern w:val="0"/>
                <w:sz w:val="24"/>
                <w:szCs w:val="24"/>
                <w:lang w:eastAsia="en-GB"/>
                <w14:ligatures w14:val="none"/>
              </w:rPr>
              <w:t>RESPONSIBILITY</w:t>
            </w:r>
          </w:p>
        </w:tc>
      </w:tr>
      <w:tr w:rsidRPr="00CF1A22" w:rsidR="005C24AE" w:rsidTr="001457A8" w14:paraId="05CE724B" w14:textId="77777777">
        <w:tc>
          <w:tcPr>
            <w:tcW w:w="1413" w:type="dxa"/>
          </w:tcPr>
          <w:p w:rsidRPr="00CF1A22" w:rsidR="005C24AE" w:rsidP="001457A8" w:rsidRDefault="005C24AE" w14:paraId="13461885" w14:textId="77777777">
            <w:pPr>
              <w:jc w:val="both"/>
              <w:rPr>
                <w:rFonts w:cstheme="minorHAnsi"/>
                <w:sz w:val="24"/>
                <w:szCs w:val="24"/>
              </w:rPr>
            </w:pPr>
            <w:r w:rsidRPr="00CF1A22">
              <w:rPr>
                <w:rFonts w:cstheme="minorHAnsi"/>
                <w:sz w:val="24"/>
                <w:szCs w:val="24"/>
              </w:rPr>
              <w:t>5</w:t>
            </w:r>
          </w:p>
        </w:tc>
        <w:tc>
          <w:tcPr>
            <w:tcW w:w="4678" w:type="dxa"/>
          </w:tcPr>
          <w:p w:rsidRPr="00CF1A22" w:rsidR="005C24AE" w:rsidP="001457A8" w:rsidRDefault="005C24AE" w14:paraId="032751DB" w14:textId="77777777">
            <w:pPr>
              <w:jc w:val="both"/>
              <w:rPr>
                <w:rFonts w:cstheme="minorHAnsi"/>
                <w:sz w:val="24"/>
                <w:szCs w:val="24"/>
              </w:rPr>
            </w:pPr>
            <w:r>
              <w:rPr>
                <w:rFonts w:cstheme="minorHAnsi"/>
                <w:sz w:val="24"/>
                <w:szCs w:val="24"/>
              </w:rPr>
              <w:t>Glastonbury Cathedral and Tor</w:t>
            </w:r>
          </w:p>
        </w:tc>
        <w:tc>
          <w:tcPr>
            <w:tcW w:w="4365" w:type="dxa"/>
          </w:tcPr>
          <w:p w:rsidRPr="00D830D0" w:rsidR="005C24AE" w:rsidP="005C24AE" w:rsidRDefault="005C24AE" w14:paraId="167BE021" w14:textId="77777777">
            <w:pPr>
              <w:pStyle w:val="ListParagraph"/>
              <w:numPr>
                <w:ilvl w:val="0"/>
                <w:numId w:val="15"/>
              </w:numPr>
              <w:spacing w:after="0" w:line="240" w:lineRule="auto"/>
              <w:jc w:val="both"/>
              <w:rPr>
                <w:rFonts w:cstheme="minorHAnsi"/>
                <w:sz w:val="24"/>
                <w:szCs w:val="24"/>
              </w:rPr>
            </w:pPr>
            <w:r w:rsidRPr="00D830D0">
              <w:rPr>
                <w:rFonts w:cstheme="minorHAnsi"/>
                <w:sz w:val="24"/>
                <w:szCs w:val="24"/>
              </w:rPr>
              <w:t>Develop an understanding of how we find out about and interpret the past</w:t>
            </w:r>
          </w:p>
          <w:p w:rsidRPr="00D830D0" w:rsidR="005C24AE" w:rsidP="005C24AE" w:rsidRDefault="005C24AE" w14:paraId="295213DB" w14:textId="77777777">
            <w:pPr>
              <w:pStyle w:val="ListParagraph"/>
              <w:numPr>
                <w:ilvl w:val="0"/>
                <w:numId w:val="15"/>
              </w:numPr>
              <w:spacing w:after="0" w:line="240" w:lineRule="auto"/>
              <w:jc w:val="both"/>
              <w:rPr>
                <w:rFonts w:cstheme="minorHAnsi"/>
                <w:sz w:val="24"/>
                <w:szCs w:val="24"/>
              </w:rPr>
            </w:pPr>
            <w:r w:rsidRPr="00D830D0">
              <w:rPr>
                <w:rFonts w:cstheme="minorHAnsi"/>
                <w:sz w:val="24"/>
                <w:szCs w:val="24"/>
              </w:rPr>
              <w:t>To use a range of different sources to find out about the lives of people who lived in and around Glastonbury in the past</w:t>
            </w:r>
          </w:p>
          <w:p w:rsidRPr="00D830D0" w:rsidR="005C24AE" w:rsidP="005C24AE" w:rsidRDefault="005C24AE" w14:paraId="4CD07613" w14:textId="77777777">
            <w:pPr>
              <w:pStyle w:val="ListParagraph"/>
              <w:numPr>
                <w:ilvl w:val="0"/>
                <w:numId w:val="15"/>
              </w:numPr>
              <w:spacing w:after="0" w:line="240" w:lineRule="auto"/>
              <w:jc w:val="both"/>
              <w:rPr>
                <w:rFonts w:cstheme="minorHAnsi"/>
                <w:sz w:val="24"/>
                <w:szCs w:val="24"/>
              </w:rPr>
            </w:pPr>
            <w:r w:rsidRPr="00D830D0">
              <w:rPr>
                <w:rFonts w:cstheme="minorHAnsi"/>
                <w:sz w:val="24"/>
                <w:szCs w:val="24"/>
              </w:rPr>
              <w:t>To develop historical enquiry skills by asking and answering questions, selecting and recording information and drawing conclusions relevant to the focus of the enquiry</w:t>
            </w:r>
          </w:p>
          <w:p w:rsidR="005C24AE" w:rsidP="005C24AE" w:rsidRDefault="005C24AE" w14:paraId="66FACDB0" w14:textId="77777777">
            <w:pPr>
              <w:pStyle w:val="ListParagraph"/>
              <w:numPr>
                <w:ilvl w:val="0"/>
                <w:numId w:val="15"/>
              </w:numPr>
              <w:jc w:val="both"/>
              <w:rPr>
                <w:rFonts w:cstheme="minorHAnsi"/>
                <w:sz w:val="24"/>
                <w:szCs w:val="24"/>
              </w:rPr>
            </w:pPr>
            <w:r>
              <w:rPr>
                <w:rFonts w:cstheme="minorHAnsi"/>
                <w:sz w:val="24"/>
                <w:szCs w:val="24"/>
              </w:rPr>
              <w:t>To understand the Christian and Pagan religious beliefs linked to Glastonbury</w:t>
            </w:r>
          </w:p>
          <w:p w:rsidRPr="00C10E72" w:rsidR="00045136" w:rsidP="006E6BF2" w:rsidRDefault="006E6BF2" w14:paraId="744E959C" w14:textId="13963EA6">
            <w:pPr>
              <w:pStyle w:val="ListParagraph"/>
              <w:jc w:val="both"/>
              <w:rPr>
                <w:rFonts w:cstheme="minorHAnsi"/>
                <w:sz w:val="24"/>
                <w:szCs w:val="24"/>
              </w:rPr>
            </w:pPr>
            <w:r>
              <w:rPr>
                <w:rFonts w:eastAsia="Times New Roman" w:cstheme="minorHAnsi"/>
                <w:color w:val="000000"/>
                <w:kern w:val="0"/>
                <w:sz w:val="24"/>
                <w:szCs w:val="24"/>
                <w:lang w:eastAsia="en-GB"/>
                <w14:ligatures w14:val="none"/>
              </w:rPr>
              <w:t xml:space="preserve">To help students develop </w:t>
            </w:r>
            <w:r>
              <w:rPr>
                <w:rFonts w:eastAsia="Times New Roman" w:cstheme="minorHAnsi"/>
                <w:color w:val="000000"/>
                <w:kern w:val="0"/>
                <w:sz w:val="24"/>
                <w:szCs w:val="24"/>
                <w:lang w:eastAsia="en-GB"/>
                <w14:ligatures w14:val="none"/>
              </w:rPr>
              <w:t>REFLECTION</w:t>
            </w:r>
          </w:p>
        </w:tc>
      </w:tr>
      <w:tr w:rsidRPr="00CF1A22" w:rsidR="005C24AE" w:rsidTr="001457A8" w14:paraId="40CACA06" w14:textId="77777777">
        <w:tc>
          <w:tcPr>
            <w:tcW w:w="1413" w:type="dxa"/>
          </w:tcPr>
          <w:p w:rsidRPr="00CF1A22" w:rsidR="005C24AE" w:rsidP="001457A8" w:rsidRDefault="005C24AE" w14:paraId="5C035B05" w14:textId="77777777">
            <w:pPr>
              <w:jc w:val="both"/>
              <w:rPr>
                <w:rFonts w:cstheme="minorHAnsi"/>
                <w:sz w:val="24"/>
                <w:szCs w:val="24"/>
              </w:rPr>
            </w:pPr>
            <w:r w:rsidRPr="00CF1A22">
              <w:rPr>
                <w:rFonts w:cstheme="minorHAnsi"/>
                <w:sz w:val="24"/>
                <w:szCs w:val="24"/>
              </w:rPr>
              <w:t>6</w:t>
            </w:r>
          </w:p>
        </w:tc>
        <w:tc>
          <w:tcPr>
            <w:tcW w:w="4678" w:type="dxa"/>
          </w:tcPr>
          <w:p w:rsidRPr="00CF1A22" w:rsidR="005C24AE" w:rsidP="001457A8" w:rsidRDefault="005C24AE" w14:paraId="07C7BC5E" w14:textId="77777777">
            <w:pPr>
              <w:jc w:val="both"/>
              <w:rPr>
                <w:rFonts w:cstheme="minorHAnsi"/>
                <w:sz w:val="24"/>
                <w:szCs w:val="24"/>
              </w:rPr>
            </w:pPr>
            <w:r w:rsidRPr="00CF1A22">
              <w:rPr>
                <w:rFonts w:cstheme="minorHAnsi"/>
                <w:sz w:val="24"/>
                <w:szCs w:val="24"/>
              </w:rPr>
              <w:t>Go Ape</w:t>
            </w:r>
          </w:p>
        </w:tc>
        <w:tc>
          <w:tcPr>
            <w:tcW w:w="4365" w:type="dxa"/>
          </w:tcPr>
          <w:p w:rsidR="005C24AE" w:rsidP="005C24AE" w:rsidRDefault="005C24AE" w14:paraId="195A4B19" w14:textId="77777777">
            <w:pPr>
              <w:pStyle w:val="ListParagraph"/>
              <w:numPr>
                <w:ilvl w:val="0"/>
                <w:numId w:val="15"/>
              </w:numPr>
              <w:jc w:val="both"/>
              <w:rPr>
                <w:rFonts w:cstheme="minorHAnsi"/>
                <w:sz w:val="24"/>
                <w:szCs w:val="24"/>
              </w:rPr>
            </w:pPr>
            <w:r>
              <w:rPr>
                <w:rFonts w:cstheme="minorHAnsi"/>
                <w:sz w:val="24"/>
                <w:szCs w:val="24"/>
              </w:rPr>
              <w:t>To build pupils’ s</w:t>
            </w:r>
            <w:r w:rsidRPr="00C93182">
              <w:rPr>
                <w:rFonts w:cstheme="minorHAnsi"/>
                <w:sz w:val="24"/>
                <w:szCs w:val="24"/>
              </w:rPr>
              <w:t>elf-discovery, problem-solving, teamwork, better communication and confidence.</w:t>
            </w:r>
          </w:p>
          <w:p w:rsidRPr="007912FD" w:rsidR="006E6BF2" w:rsidP="005C24AE" w:rsidRDefault="006E6BF2" w14:paraId="02F2F5AA" w14:textId="77777777">
            <w:pPr>
              <w:pStyle w:val="ListParagraph"/>
              <w:numPr>
                <w:ilvl w:val="0"/>
                <w:numId w:val="15"/>
              </w:numPr>
              <w:jc w:val="both"/>
              <w:rPr>
                <w:rFonts w:cstheme="minorHAnsi"/>
                <w:sz w:val="24"/>
                <w:szCs w:val="24"/>
              </w:rPr>
            </w:pPr>
            <w:r>
              <w:rPr>
                <w:rFonts w:eastAsia="Times New Roman" w:cstheme="minorHAnsi"/>
                <w:color w:val="000000"/>
                <w:kern w:val="0"/>
                <w:sz w:val="24"/>
                <w:szCs w:val="24"/>
                <w:lang w:eastAsia="en-GB"/>
                <w14:ligatures w14:val="none"/>
              </w:rPr>
              <w:t xml:space="preserve">To help students develop </w:t>
            </w:r>
            <w:r>
              <w:rPr>
                <w:rFonts w:eastAsia="Times New Roman" w:cstheme="minorHAnsi"/>
                <w:color w:val="000000"/>
                <w:kern w:val="0"/>
                <w:sz w:val="24"/>
                <w:szCs w:val="24"/>
                <w:lang w:eastAsia="en-GB"/>
                <w14:ligatures w14:val="none"/>
              </w:rPr>
              <w:t>RESPONSIBILITY, RESILIENCE, RESPECT, REFLECTION</w:t>
            </w:r>
          </w:p>
          <w:p w:rsidRPr="00C93182" w:rsidR="007912FD" w:rsidP="005C24AE" w:rsidRDefault="007912FD" w14:paraId="149204B2" w14:textId="62E44F3F">
            <w:pPr>
              <w:pStyle w:val="ListParagraph"/>
              <w:numPr>
                <w:ilvl w:val="0"/>
                <w:numId w:val="15"/>
              </w:numPr>
              <w:jc w:val="both"/>
              <w:rPr>
                <w:rFonts w:cstheme="minorHAnsi"/>
                <w:sz w:val="24"/>
                <w:szCs w:val="24"/>
              </w:rPr>
            </w:pPr>
            <w:r>
              <w:rPr>
                <w:rFonts w:cstheme="minorHAnsi"/>
                <w:sz w:val="24"/>
                <w:szCs w:val="24"/>
              </w:rPr>
              <w:t>To help students become READY TO BE REMARKABLE</w:t>
            </w:r>
          </w:p>
        </w:tc>
      </w:tr>
    </w:tbl>
    <w:p w:rsidRPr="00CF1A22" w:rsidR="005C24AE" w:rsidP="005C24AE" w:rsidRDefault="005C24AE" w14:paraId="3EB52C36" w14:textId="77777777">
      <w:pPr>
        <w:jc w:val="both"/>
        <w:rPr>
          <w:rFonts w:asciiTheme="minorHAnsi" w:hAnsiTheme="minorHAnsi" w:cstheme="minorHAnsi"/>
          <w:sz w:val="24"/>
          <w:szCs w:val="24"/>
        </w:rPr>
      </w:pPr>
    </w:p>
    <w:p w:rsidR="005C24AE" w:rsidP="005C24AE" w:rsidRDefault="005C24AE" w14:paraId="2212A8F7" w14:textId="77777777">
      <w:pPr>
        <w:keepNext/>
        <w:keepLines/>
        <w:spacing w:after="218"/>
        <w:ind w:left="-5"/>
        <w:rPr>
          <w:sz w:val="24"/>
          <w:szCs w:val="24"/>
        </w:rPr>
      </w:pPr>
    </w:p>
    <w:sectPr w:rsidR="005C24AE">
      <w:headerReference w:type="default" r:id="rId11"/>
      <w:pgSz w:w="11906" w:h="16838" w:orient="portrait"/>
      <w:pgMar w:top="720" w:right="720" w:bottom="720" w:left="720" w:header="708" w:footer="708" w:gutter="0"/>
      <w:pgNumType w:start="1"/>
      <w:cols w:space="720"/>
      <w:footerReference w:type="default" r:id="R6d93b9e2663d4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912FD" w14:paraId="769F4E60" w14:textId="77777777">
      <w:pPr>
        <w:spacing w:after="0" w:line="240" w:lineRule="auto"/>
      </w:pPr>
      <w:r>
        <w:separator/>
      </w:r>
    </w:p>
  </w:endnote>
  <w:endnote w:type="continuationSeparator" w:id="0">
    <w:p w:rsidR="00000000" w:rsidRDefault="007912FD" w14:paraId="72B030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24A53E4" w:rsidTr="424A53E4" w14:paraId="113ABC6C">
      <w:trPr>
        <w:trHeight w:val="300"/>
      </w:trPr>
      <w:tc>
        <w:tcPr>
          <w:tcW w:w="3485" w:type="dxa"/>
          <w:tcMar/>
        </w:tcPr>
        <w:p w:rsidR="424A53E4" w:rsidP="424A53E4" w:rsidRDefault="424A53E4" w14:paraId="472DF946" w14:textId="7D81B157">
          <w:pPr>
            <w:pStyle w:val="Header"/>
            <w:bidi w:val="0"/>
            <w:ind w:left="-115"/>
            <w:jc w:val="left"/>
          </w:pPr>
        </w:p>
      </w:tc>
      <w:tc>
        <w:tcPr>
          <w:tcW w:w="3485" w:type="dxa"/>
          <w:tcMar/>
        </w:tcPr>
        <w:p w:rsidR="424A53E4" w:rsidP="424A53E4" w:rsidRDefault="424A53E4" w14:paraId="403FD148" w14:textId="082714A4">
          <w:pPr>
            <w:pStyle w:val="Header"/>
            <w:bidi w:val="0"/>
            <w:jc w:val="center"/>
          </w:pPr>
        </w:p>
      </w:tc>
      <w:tc>
        <w:tcPr>
          <w:tcW w:w="3485" w:type="dxa"/>
          <w:tcMar/>
        </w:tcPr>
        <w:p w:rsidR="424A53E4" w:rsidP="424A53E4" w:rsidRDefault="424A53E4" w14:paraId="53F26F26" w14:textId="30773456">
          <w:pPr>
            <w:pStyle w:val="Header"/>
            <w:bidi w:val="0"/>
            <w:ind w:right="-115"/>
            <w:jc w:val="right"/>
          </w:pPr>
        </w:p>
      </w:tc>
    </w:tr>
  </w:tbl>
  <w:p w:rsidR="424A53E4" w:rsidP="424A53E4" w:rsidRDefault="424A53E4" w14:paraId="0866BC19" w14:textId="075AB37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912FD" w14:paraId="50829120" w14:textId="77777777">
      <w:pPr>
        <w:spacing w:after="0" w:line="240" w:lineRule="auto"/>
      </w:pPr>
      <w:r>
        <w:separator/>
      </w:r>
    </w:p>
  </w:footnote>
  <w:footnote w:type="continuationSeparator" w:id="0">
    <w:p w:rsidR="00000000" w:rsidRDefault="007912FD" w14:paraId="5D0BC91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E04C5" w:rsidP="159FA3E7" w:rsidRDefault="007912FD" w14:paraId="418A2086" w14:textId="7C73BC26">
    <w:pPr>
      <w:pStyle w:val="Normal"/>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line="240" w:lineRule="auto"/>
      <w:jc w:val="center"/>
    </w:pPr>
    <w:r w:rsidRPr="159FA3E7" w:rsidR="159FA3E7">
      <w:rPr>
        <w:b w:val="1"/>
        <w:bCs w:val="1"/>
        <w:sz w:val="40"/>
        <w:szCs w:val="40"/>
      </w:rPr>
      <w:t>Curriculum Policy</w:t>
    </w:r>
    <w:r w:rsidR="159FA3E7">
      <w:drawing>
        <wp:anchor distT="0" distB="0" distL="114300" distR="114300" simplePos="0" relativeHeight="251658240" behindDoc="0" locked="0" layoutInCell="1" allowOverlap="1" wp14:editId="37737DF7" wp14:anchorId="5DACADB9">
          <wp:simplePos x="0" y="0"/>
          <wp:positionH relativeFrom="column">
            <wp:align>left</wp:align>
          </wp:positionH>
          <wp:positionV relativeFrom="paragraph">
            <wp:posOffset>0</wp:posOffset>
          </wp:positionV>
          <wp:extent cx="1047750" cy="485775"/>
          <wp:effectExtent l="0" t="0" r="0" b="0"/>
          <wp:wrapSquare wrapText="bothSides"/>
          <wp:docPr id="835230681" name="" title=""/>
          <wp:cNvGraphicFramePr>
            <a:graphicFrameLocks noChangeAspect="1"/>
          </wp:cNvGraphicFramePr>
          <a:graphic>
            <a:graphicData uri="http://schemas.openxmlformats.org/drawingml/2006/picture">
              <pic:pic>
                <pic:nvPicPr>
                  <pic:cNvPr id="0" name=""/>
                  <pic:cNvPicPr/>
                </pic:nvPicPr>
                <pic:blipFill>
                  <a:blip r:embed="Rc701d266a0524d5d">
                    <a:extLst>
                      <a:ext xmlns:a="http://schemas.openxmlformats.org/drawingml/2006/main" uri="{28A0092B-C50C-407E-A947-70E740481C1C}">
                        <a14:useLocalDpi val="0"/>
                      </a:ext>
                    </a:extLst>
                  </a:blip>
                  <a:stretch>
                    <a:fillRect/>
                  </a:stretch>
                </pic:blipFill>
                <pic:spPr>
                  <a:xfrm>
                    <a:off x="0" y="0"/>
                    <a:ext cx="104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3F"/>
    <w:multiLevelType w:val="multilevel"/>
    <w:tmpl w:val="5A08818A"/>
    <w:lvl w:ilvl="0">
      <w:start w:val="1"/>
      <w:numFmt w:val="bullet"/>
      <w:lvlText w:val="●"/>
      <w:lvlJc w:val="left"/>
      <w:pPr>
        <w:ind w:left="705" w:hanging="705"/>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hAnsi="Arial" w:eastAsia="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hAnsi="Arial" w:eastAsia="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hAnsi="Arial" w:eastAsia="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hAnsi="Arial" w:eastAsia="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hAnsi="Arial" w:eastAsia="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hAnsi="Arial" w:eastAsia="Arial" w:cs="Arial"/>
        <w:b w:val="0"/>
        <w:i w:val="0"/>
        <w:strike w:val="0"/>
        <w:color w:val="000000"/>
        <w:sz w:val="22"/>
        <w:szCs w:val="22"/>
        <w:u w:val="none"/>
        <w:shd w:val="clear" w:color="auto" w:fill="auto"/>
        <w:vertAlign w:val="baseline"/>
      </w:rPr>
    </w:lvl>
  </w:abstractNum>
  <w:abstractNum w:abstractNumId="1" w15:restartNumberingAfterBreak="0">
    <w:nsid w:val="066F7E65"/>
    <w:multiLevelType w:val="multilevel"/>
    <w:tmpl w:val="95DEE1D6"/>
    <w:lvl w:ilvl="0">
      <w:start w:val="1"/>
      <w:numFmt w:val="bullet"/>
      <w:lvlText w:val="●"/>
      <w:lvlJc w:val="left"/>
      <w:pPr>
        <w:ind w:left="705" w:hanging="705"/>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hAnsi="Arial" w:eastAsia="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hAnsi="Arial" w:eastAsia="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hAnsi="Arial" w:eastAsia="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hAnsi="Arial" w:eastAsia="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hAnsi="Arial" w:eastAsia="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hAnsi="Arial" w:eastAsia="Arial" w:cs="Arial"/>
        <w:b w:val="0"/>
        <w:i w:val="0"/>
        <w:strike w:val="0"/>
        <w:color w:val="000000"/>
        <w:sz w:val="22"/>
        <w:szCs w:val="22"/>
        <w:u w:val="none"/>
        <w:shd w:val="clear" w:color="auto" w:fill="auto"/>
        <w:vertAlign w:val="baseline"/>
      </w:rPr>
    </w:lvl>
  </w:abstractNum>
  <w:abstractNum w:abstractNumId="2" w15:restartNumberingAfterBreak="0">
    <w:nsid w:val="07AC7512"/>
    <w:multiLevelType w:val="multilevel"/>
    <w:tmpl w:val="2B863F02"/>
    <w:lvl w:ilvl="0">
      <w:start w:val="1"/>
      <w:numFmt w:val="bullet"/>
      <w:lvlText w:val="●"/>
      <w:lvlJc w:val="left"/>
      <w:pPr>
        <w:ind w:left="705" w:hanging="705"/>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hAnsi="Arial" w:eastAsia="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hAnsi="Arial" w:eastAsia="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hAnsi="Arial" w:eastAsia="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hAnsi="Arial" w:eastAsia="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hAnsi="Arial" w:eastAsia="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hAnsi="Arial" w:eastAsia="Arial" w:cs="Arial"/>
        <w:b w:val="0"/>
        <w:i w:val="0"/>
        <w:strike w:val="0"/>
        <w:color w:val="000000"/>
        <w:sz w:val="22"/>
        <w:szCs w:val="22"/>
        <w:u w:val="none"/>
        <w:shd w:val="clear" w:color="auto" w:fill="auto"/>
        <w:vertAlign w:val="baseline"/>
      </w:rPr>
    </w:lvl>
  </w:abstractNum>
  <w:abstractNum w:abstractNumId="3" w15:restartNumberingAfterBreak="0">
    <w:nsid w:val="150E61D6"/>
    <w:multiLevelType w:val="multilevel"/>
    <w:tmpl w:val="46663F30"/>
    <w:lvl w:ilvl="0">
      <w:start w:val="1"/>
      <w:numFmt w:val="bullet"/>
      <w:lvlText w:val="●"/>
      <w:lvlJc w:val="left"/>
      <w:pPr>
        <w:ind w:left="705" w:hanging="705"/>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hAnsi="Arial" w:eastAsia="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hAnsi="Arial" w:eastAsia="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hAnsi="Arial" w:eastAsia="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hAnsi="Arial" w:eastAsia="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hAnsi="Arial" w:eastAsia="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hAnsi="Arial" w:eastAsia="Arial" w:cs="Arial"/>
        <w:b w:val="0"/>
        <w:i w:val="0"/>
        <w:strike w:val="0"/>
        <w:color w:val="000000"/>
        <w:sz w:val="22"/>
        <w:szCs w:val="22"/>
        <w:u w:val="none"/>
        <w:shd w:val="clear" w:color="auto" w:fill="auto"/>
        <w:vertAlign w:val="baseline"/>
      </w:rPr>
    </w:lvl>
  </w:abstractNum>
  <w:abstractNum w:abstractNumId="4" w15:restartNumberingAfterBreak="0">
    <w:nsid w:val="1AE73E12"/>
    <w:multiLevelType w:val="hybridMultilevel"/>
    <w:tmpl w:val="57165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474C0"/>
    <w:multiLevelType w:val="multilevel"/>
    <w:tmpl w:val="577A3F16"/>
    <w:lvl w:ilvl="0">
      <w:start w:val="1"/>
      <w:numFmt w:val="bullet"/>
      <w:lvlText w:val="●"/>
      <w:lvlJc w:val="left"/>
      <w:pPr>
        <w:ind w:left="705" w:hanging="705"/>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hAnsi="Arial" w:eastAsia="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hAnsi="Arial" w:eastAsia="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hAnsi="Arial" w:eastAsia="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hAnsi="Arial" w:eastAsia="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hAnsi="Arial" w:eastAsia="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hAnsi="Arial" w:eastAsia="Arial" w:cs="Arial"/>
        <w:b w:val="0"/>
        <w:i w:val="0"/>
        <w:strike w:val="0"/>
        <w:color w:val="000000"/>
        <w:sz w:val="22"/>
        <w:szCs w:val="22"/>
        <w:u w:val="none"/>
        <w:shd w:val="clear" w:color="auto" w:fill="auto"/>
        <w:vertAlign w:val="baseline"/>
      </w:rPr>
    </w:lvl>
  </w:abstractNum>
  <w:abstractNum w:abstractNumId="6" w15:restartNumberingAfterBreak="0">
    <w:nsid w:val="26F01019"/>
    <w:multiLevelType w:val="multilevel"/>
    <w:tmpl w:val="9E42D0E8"/>
    <w:lvl w:ilvl="0">
      <w:start w:val="1"/>
      <w:numFmt w:val="bullet"/>
      <w:lvlText w:val="●"/>
      <w:lvlJc w:val="left"/>
      <w:pPr>
        <w:ind w:left="705" w:hanging="705"/>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hAnsi="Arial" w:eastAsia="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hAnsi="Arial" w:eastAsia="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hAnsi="Arial" w:eastAsia="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hAnsi="Arial" w:eastAsia="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hAnsi="Arial" w:eastAsia="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hAnsi="Arial" w:eastAsia="Arial" w:cs="Arial"/>
        <w:b w:val="0"/>
        <w:i w:val="0"/>
        <w:strike w:val="0"/>
        <w:color w:val="000000"/>
        <w:sz w:val="22"/>
        <w:szCs w:val="22"/>
        <w:u w:val="none"/>
        <w:shd w:val="clear" w:color="auto" w:fill="auto"/>
        <w:vertAlign w:val="baseline"/>
      </w:rPr>
    </w:lvl>
  </w:abstractNum>
  <w:abstractNum w:abstractNumId="7" w15:restartNumberingAfterBreak="0">
    <w:nsid w:val="43920973"/>
    <w:multiLevelType w:val="multilevel"/>
    <w:tmpl w:val="42423492"/>
    <w:lvl w:ilvl="0">
      <w:start w:val="1"/>
      <w:numFmt w:val="bullet"/>
      <w:lvlText w:val="●"/>
      <w:lvlJc w:val="left"/>
      <w:pPr>
        <w:ind w:left="705" w:hanging="705"/>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hAnsi="Arial" w:eastAsia="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hAnsi="Arial" w:eastAsia="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hAnsi="Arial" w:eastAsia="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hAnsi="Arial" w:eastAsia="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hAnsi="Arial" w:eastAsia="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hAnsi="Arial" w:eastAsia="Arial" w:cs="Arial"/>
        <w:b w:val="0"/>
        <w:i w:val="0"/>
        <w:strike w:val="0"/>
        <w:color w:val="000000"/>
        <w:sz w:val="22"/>
        <w:szCs w:val="22"/>
        <w:u w:val="none"/>
        <w:shd w:val="clear" w:color="auto" w:fill="auto"/>
        <w:vertAlign w:val="baseline"/>
      </w:rPr>
    </w:lvl>
  </w:abstractNum>
  <w:abstractNum w:abstractNumId="8" w15:restartNumberingAfterBreak="0">
    <w:nsid w:val="44F34F02"/>
    <w:multiLevelType w:val="hybridMultilevel"/>
    <w:tmpl w:val="FDAE8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071C7"/>
    <w:multiLevelType w:val="hybridMultilevel"/>
    <w:tmpl w:val="7E503246"/>
    <w:lvl w:ilvl="0" w:tplc="2A205EF6">
      <w:start w:val="1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70F6A0A"/>
    <w:multiLevelType w:val="multilevel"/>
    <w:tmpl w:val="ABF45E90"/>
    <w:lvl w:ilvl="0">
      <w:start w:val="1"/>
      <w:numFmt w:val="bullet"/>
      <w:lvlText w:val="●"/>
      <w:lvlJc w:val="left"/>
      <w:pPr>
        <w:ind w:left="705" w:hanging="705"/>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hAnsi="Arial" w:eastAsia="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hAnsi="Arial" w:eastAsia="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hAnsi="Arial" w:eastAsia="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hAnsi="Arial" w:eastAsia="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hAnsi="Arial" w:eastAsia="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hAnsi="Arial" w:eastAsia="Arial" w:cs="Arial"/>
        <w:b w:val="0"/>
        <w:i w:val="0"/>
        <w:strike w:val="0"/>
        <w:color w:val="000000"/>
        <w:sz w:val="22"/>
        <w:szCs w:val="22"/>
        <w:u w:val="none"/>
        <w:shd w:val="clear" w:color="auto" w:fill="auto"/>
        <w:vertAlign w:val="baseline"/>
      </w:rPr>
    </w:lvl>
  </w:abstractNum>
  <w:abstractNum w:abstractNumId="11" w15:restartNumberingAfterBreak="0">
    <w:nsid w:val="73C51827"/>
    <w:multiLevelType w:val="multilevel"/>
    <w:tmpl w:val="678C046C"/>
    <w:lvl w:ilvl="0">
      <w:start w:val="1"/>
      <w:numFmt w:val="bullet"/>
      <w:lvlText w:val="●"/>
      <w:lvlJc w:val="left"/>
      <w:pPr>
        <w:ind w:left="705" w:hanging="705"/>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hAnsi="Arial" w:eastAsia="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hAnsi="Arial" w:eastAsia="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hAnsi="Arial" w:eastAsia="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hAnsi="Arial" w:eastAsia="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hAnsi="Arial" w:eastAsia="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hAnsi="Arial" w:eastAsia="Arial" w:cs="Arial"/>
        <w:b w:val="0"/>
        <w:i w:val="0"/>
        <w:strike w:val="0"/>
        <w:color w:val="000000"/>
        <w:sz w:val="22"/>
        <w:szCs w:val="22"/>
        <w:u w:val="none"/>
        <w:shd w:val="clear" w:color="auto" w:fill="auto"/>
        <w:vertAlign w:val="baseline"/>
      </w:rPr>
    </w:lvl>
  </w:abstractNum>
  <w:abstractNum w:abstractNumId="12" w15:restartNumberingAfterBreak="0">
    <w:nsid w:val="788846EC"/>
    <w:multiLevelType w:val="multilevel"/>
    <w:tmpl w:val="3AD68B78"/>
    <w:lvl w:ilvl="0">
      <w:start w:val="1"/>
      <w:numFmt w:val="bullet"/>
      <w:lvlText w:val="●"/>
      <w:lvlJc w:val="left"/>
      <w:pPr>
        <w:ind w:left="705" w:hanging="705"/>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hAnsi="Arial" w:eastAsia="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hAnsi="Arial" w:eastAsia="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hAnsi="Arial" w:eastAsia="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hAnsi="Arial" w:eastAsia="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hAnsi="Arial" w:eastAsia="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hAnsi="Arial" w:eastAsia="Arial" w:cs="Arial"/>
        <w:b w:val="0"/>
        <w:i w:val="0"/>
        <w:strike w:val="0"/>
        <w:color w:val="000000"/>
        <w:sz w:val="22"/>
        <w:szCs w:val="22"/>
        <w:u w:val="none"/>
        <w:shd w:val="clear" w:color="auto" w:fill="auto"/>
        <w:vertAlign w:val="baseline"/>
      </w:rPr>
    </w:lvl>
  </w:abstractNum>
  <w:abstractNum w:abstractNumId="13" w15:restartNumberingAfterBreak="0">
    <w:nsid w:val="7AE4538B"/>
    <w:multiLevelType w:val="hybridMultilevel"/>
    <w:tmpl w:val="773474A8"/>
    <w:lvl w:ilvl="0" w:tplc="18A85EA6">
      <w:start w:val="4"/>
      <w:numFmt w:val="bullet"/>
      <w:lvlText w:val=""/>
      <w:lvlJc w:val="left"/>
      <w:pPr>
        <w:ind w:left="720" w:hanging="360"/>
      </w:pPr>
      <w:rPr>
        <w:rFonts w:hint="default" w:ascii="Symbol" w:hAnsi="Symbol" w:eastAsiaTheme="minorHAns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CFA4A59"/>
    <w:multiLevelType w:val="multilevel"/>
    <w:tmpl w:val="E632C8C8"/>
    <w:lvl w:ilvl="0">
      <w:start w:val="1"/>
      <w:numFmt w:val="bullet"/>
      <w:lvlText w:val="●"/>
      <w:lvlJc w:val="left"/>
      <w:pPr>
        <w:ind w:left="705" w:hanging="705"/>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hAnsi="Arial" w:eastAsia="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hAnsi="Arial" w:eastAsia="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hAnsi="Arial" w:eastAsia="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hAnsi="Arial" w:eastAsia="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hAnsi="Arial" w:eastAsia="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hAnsi="Arial" w:eastAsia="Arial" w:cs="Arial"/>
        <w:b w:val="0"/>
        <w:i w:val="0"/>
        <w:strike w:val="0"/>
        <w:color w:val="000000"/>
        <w:sz w:val="22"/>
        <w:szCs w:val="22"/>
        <w:u w:val="none"/>
        <w:shd w:val="clear" w:color="auto" w:fill="auto"/>
        <w:vertAlign w:val="baseline"/>
      </w:rPr>
    </w:lvl>
  </w:abstractNum>
  <w:num w:numId="1" w16cid:durableId="124933596">
    <w:abstractNumId w:val="14"/>
  </w:num>
  <w:num w:numId="2" w16cid:durableId="465583391">
    <w:abstractNumId w:val="1"/>
  </w:num>
  <w:num w:numId="3" w16cid:durableId="1287853350">
    <w:abstractNumId w:val="3"/>
  </w:num>
  <w:num w:numId="4" w16cid:durableId="188761574">
    <w:abstractNumId w:val="10"/>
  </w:num>
  <w:num w:numId="5" w16cid:durableId="800073627">
    <w:abstractNumId w:val="0"/>
  </w:num>
  <w:num w:numId="6" w16cid:durableId="1923099326">
    <w:abstractNumId w:val="7"/>
  </w:num>
  <w:num w:numId="7" w16cid:durableId="2035422450">
    <w:abstractNumId w:val="5"/>
  </w:num>
  <w:num w:numId="8" w16cid:durableId="1236546163">
    <w:abstractNumId w:val="2"/>
  </w:num>
  <w:num w:numId="9" w16cid:durableId="1596011850">
    <w:abstractNumId w:val="6"/>
  </w:num>
  <w:num w:numId="10" w16cid:durableId="1971662468">
    <w:abstractNumId w:val="12"/>
  </w:num>
  <w:num w:numId="11" w16cid:durableId="1088115210">
    <w:abstractNumId w:val="11"/>
  </w:num>
  <w:num w:numId="12" w16cid:durableId="300962286">
    <w:abstractNumId w:val="8"/>
  </w:num>
  <w:num w:numId="13" w16cid:durableId="1557426269">
    <w:abstractNumId w:val="4"/>
  </w:num>
  <w:num w:numId="14" w16cid:durableId="1966816467">
    <w:abstractNumId w:val="13"/>
  </w:num>
  <w:num w:numId="15" w16cid:durableId="100270596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4C5"/>
    <w:rsid w:val="00045136"/>
    <w:rsid w:val="000D6584"/>
    <w:rsid w:val="005C24AE"/>
    <w:rsid w:val="006E6BF2"/>
    <w:rsid w:val="007912FD"/>
    <w:rsid w:val="00F55544"/>
    <w:rsid w:val="00FE04C5"/>
    <w:rsid w:val="027A8084"/>
    <w:rsid w:val="159FA3E7"/>
    <w:rsid w:val="19E06D43"/>
    <w:rsid w:val="281CC29F"/>
    <w:rsid w:val="2B43A606"/>
    <w:rsid w:val="326B7804"/>
    <w:rsid w:val="424A53E4"/>
    <w:rsid w:val="4311D00F"/>
    <w:rsid w:val="465C5AA9"/>
    <w:rsid w:val="4989CC1E"/>
    <w:rsid w:val="4F0FAE8F"/>
    <w:rsid w:val="784F6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F684"/>
  <w15:docId w15:val="{E5AAFD38-622E-491A-9FC0-3FAC3AC39A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2F7A8E"/>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5522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F7A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F7A8E"/>
  </w:style>
  <w:style w:type="paragraph" w:styleId="Footer">
    <w:name w:val="footer"/>
    <w:basedOn w:val="Normal"/>
    <w:link w:val="FooterChar"/>
    <w:uiPriority w:val="99"/>
    <w:unhideWhenUsed/>
    <w:rsid w:val="002F7A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F7A8E"/>
  </w:style>
  <w:style w:type="paragraph" w:styleId="NormalWeb">
    <w:name w:val="Normal (Web)"/>
    <w:basedOn w:val="Normal"/>
    <w:uiPriority w:val="99"/>
    <w:unhideWhenUsed/>
    <w:rsid w:val="002F7A8E"/>
    <w:pPr>
      <w:spacing w:before="100" w:beforeAutospacing="1" w:after="100" w:afterAutospacing="1" w:line="240" w:lineRule="auto"/>
    </w:pPr>
    <w:rPr>
      <w:rFonts w:ascii="Times New Roman" w:hAnsi="Times New Roman" w:eastAsia="Times New Roman" w:cs="Times New Roman"/>
      <w:sz w:val="24"/>
      <w:szCs w:val="24"/>
    </w:rPr>
  </w:style>
  <w:style w:type="character" w:styleId="Heading1Char" w:customStyle="1">
    <w:name w:val="Heading 1 Char"/>
    <w:basedOn w:val="DefaultParagraphFont"/>
    <w:link w:val="Heading1"/>
    <w:uiPriority w:val="9"/>
    <w:rsid w:val="002F7A8E"/>
    <w:rPr>
      <w:rFonts w:ascii="Times New Roman" w:hAnsi="Times New Roman" w:eastAsia="Times New Roman" w:cs="Times New Roman"/>
      <w:b/>
      <w:bCs/>
      <w:kern w:val="36"/>
      <w:sz w:val="48"/>
      <w:szCs w:val="48"/>
      <w:lang w:eastAsia="en-GB"/>
    </w:rPr>
  </w:style>
  <w:style w:type="paragraph" w:styleId="ListParagraph">
    <w:name w:val="List Paragraph"/>
    <w:basedOn w:val="Normal"/>
    <w:uiPriority w:val="34"/>
    <w:qFormat/>
    <w:rsid w:val="00D55227"/>
    <w:pPr>
      <w:ind w:left="720"/>
      <w:contextualSpacing/>
    </w:pPr>
  </w:style>
  <w:style w:type="character" w:styleId="Heading2Char" w:customStyle="1">
    <w:name w:val="Heading 2 Char"/>
    <w:basedOn w:val="DefaultParagraphFont"/>
    <w:link w:val="Heading2"/>
    <w:uiPriority w:val="9"/>
    <w:semiHidden/>
    <w:rsid w:val="00D55227"/>
    <w:rPr>
      <w:rFonts w:asciiTheme="majorHAnsi" w:hAnsiTheme="majorHAnsi" w:eastAsiaTheme="majorEastAsia" w:cstheme="majorBidi"/>
      <w:color w:val="2F5496" w:themeColor="accent1" w:themeShade="BF"/>
      <w:sz w:val="26"/>
      <w:szCs w:val="26"/>
    </w:rPr>
  </w:style>
  <w:style w:type="table" w:styleId="TableGrid" w:customStyle="1">
    <w:name w:val="Table Grid"/>
    <w:rsid w:val="00301196"/>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5" w:type="dxa"/>
        <w:left w:w="15" w:type="dxa"/>
        <w:bottom w:w="15" w:type="dxa"/>
        <w:right w:w="15" w:type="dxa"/>
      </w:tblCellMar>
    </w:tblPr>
  </w:style>
  <w:style w:type="table" w:styleId="a0" w:customStyle="1">
    <w:basedOn w:val="TableNormal"/>
    <w:pPr>
      <w:spacing w:after="0" w:line="240" w:lineRule="auto"/>
    </w:pPr>
    <w:tblPr>
      <w:tblStyleRowBandSize w:val="1"/>
      <w:tblStyleColBandSize w:val="1"/>
      <w:tblCellMar>
        <w:top w:w="33" w:type="dxa"/>
        <w:left w:w="8" w:type="dxa"/>
        <w:right w:w="115" w:type="dxa"/>
      </w:tblCellMar>
    </w:tblPr>
  </w:style>
  <w:style w:type="table" w:styleId="TableGrid0">
    <w:name w:val="Table Grid0"/>
    <w:basedOn w:val="TableNormal"/>
    <w:uiPriority w:val="39"/>
    <w:rsid w:val="005C24AE"/>
    <w:pPr>
      <w:spacing w:after="0" w:line="240" w:lineRule="auto"/>
    </w:pPr>
    <w:rPr>
      <w:rFonts w:asciiTheme="minorHAnsi" w:hAnsiTheme="minorHAnsi" w:eastAsiaTheme="minorHAnsi" w:cstheme="minorBidi"/>
      <w:kern w:val="2"/>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6d93b9e2663d4708" /></Relationships>
</file>

<file path=word/_rels/header1.xml.rels>&#65279;<?xml version="1.0" encoding="utf-8"?><Relationships xmlns="http://schemas.openxmlformats.org/package/2006/relationships"><Relationship Type="http://schemas.openxmlformats.org/officeDocument/2006/relationships/image" Target="/media/image5.jpg" Id="Rc701d266a0524d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ZhI4x+JYvE/bLTtYz4SWfYmNA==">CgMxLjAyCGguZ2pkZ3hzOAByITFfTHdrbFNUZEYxYklMWkJMTXhpMmQ3YnRiUjloaWM1ag==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6E9476145B88845B3B39B7DB6BADB0D" ma:contentTypeVersion="4" ma:contentTypeDescription="Create a new document." ma:contentTypeScope="" ma:versionID="d69eb422b100234db8445720f7ce4230">
  <xsd:schema xmlns:xsd="http://www.w3.org/2001/XMLSchema" xmlns:xs="http://www.w3.org/2001/XMLSchema" xmlns:p="http://schemas.microsoft.com/office/2006/metadata/properties" xmlns:ns2="3a16806b-39d5-4c19-a07a-13b115f958b0" targetNamespace="http://schemas.microsoft.com/office/2006/metadata/properties" ma:root="true" ma:fieldsID="1d57cbbaa9fbe34b4776911c931c3a57" ns2:_="">
    <xsd:import namespace="3a16806b-39d5-4c19-a07a-13b115f958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806b-39d5-4c19-a07a-13b115f95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8E264B1-DD92-4DBE-84B3-33457D448AFB}"/>
</file>

<file path=customXml/itemProps3.xml><?xml version="1.0" encoding="utf-8"?>
<ds:datastoreItem xmlns:ds="http://schemas.openxmlformats.org/officeDocument/2006/customXml" ds:itemID="{80FEFA56-36EC-45F5-86F8-11A0EBEE8125}">
  <ds:schemaRefs>
    <ds:schemaRef ds:uri="http://schemas.microsoft.com/sharepoint/v3/contenttype/forms"/>
  </ds:schemaRefs>
</ds:datastoreItem>
</file>

<file path=customXml/itemProps4.xml><?xml version="1.0" encoding="utf-8"?>
<ds:datastoreItem xmlns:ds="http://schemas.openxmlformats.org/officeDocument/2006/customXml" ds:itemID="{9A06CCAE-2DFE-4141-8CBD-F8017FB979B9}">
  <ds:schemaRefs>
    <ds:schemaRef ds:uri="http://schemas.openxmlformats.org/package/2006/metadata/core-properties"/>
    <ds:schemaRef ds:uri="73e4b6e0-ea1e-4088-9f45-acdc3ec266a0"/>
    <ds:schemaRef ds:uri="http://www.w3.org/XML/1998/namespace"/>
    <ds:schemaRef ds:uri="http://purl.org/dc/elements/1.1/"/>
    <ds:schemaRef ds:uri="http://purl.org/dc/terms/"/>
    <ds:schemaRef ds:uri="268d684d-8dba-4c7f-b2a8-8cf5f9dd40b4"/>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Truscott</dc:creator>
  <cp:lastModifiedBy>sianlouise05@gmail.com</cp:lastModifiedBy>
  <cp:revision>13</cp:revision>
  <dcterms:created xsi:type="dcterms:W3CDTF">2023-07-19T13:51:00Z</dcterms:created>
  <dcterms:modified xsi:type="dcterms:W3CDTF">2024-06-12T11:44:13Z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0x01010066E9476145B88845B3B39B7DB6BADB0D</vt:lpwstr>
  </property>
</Properties>
</file>